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Times New Roman" w:hAnsi="Times New Roman"/>
          <w:b/>
          <w:sz w:val="22"/>
        </w:rPr>
        <w:t>UNIVERSITATEA TEHNICĂ A MOLDOVEI</w:t>
        <w:br/>
        <w:t>FACULTATEA CALCULATOARE, INFORMATICĂ ȘI MICROELECTRONICĂ</w:t>
        <w:br/>
        <w:t>DEPARTAMENTUL SECURITATE INFORMAȚIONALĂ</w:t>
      </w:r>
    </w:p>
    <w:p>
      <w:pPr>
        <w:spacing w:before="200" w:after="60" w:line="276" w:lineRule="auto"/>
        <w:jc w:val="center"/>
      </w:pPr>
      <w:r>
        <w:rPr>
          <w:rFonts w:ascii="Times New Roman" w:hAnsi="Times New Roman"/>
          <w:b/>
          <w:sz w:val="28"/>
        </w:rPr>
        <w:t>RAPORT DE LABORATOR</w:t>
      </w:r>
    </w:p>
    <w:p>
      <w:pPr>
        <w:spacing w:before="0" w:after="120" w:line="276" w:lineRule="auto"/>
        <w:jc w:val="center"/>
      </w:pPr>
      <w:r>
        <w:rPr>
          <w:rFonts w:ascii="Times New Roman" w:hAnsi="Times New Roman"/>
          <w:b/>
          <w:sz w:val="24"/>
        </w:rPr>
        <w:t>Titlul lucrării: Familiarizarea cu mediul de lucru pwn.college</w:t>
      </w:r>
    </w:p>
    <w:p>
      <w:pPr>
        <w:spacing w:before="0" w:after="200" w:line="276" w:lineRule="auto"/>
        <w:jc w:val="center"/>
      </w:pPr>
      <w:r>
        <w:rPr>
          <w:rFonts w:ascii="Times New Roman" w:hAnsi="Times New Roman"/>
          <w:i/>
          <w:sz w:val="21"/>
        </w:rPr>
        <w:t>Student: Gheorghe Diacencu   |   Grupa: SI-262   |   Disciplina: Securitate Informațională</w:t>
      </w:r>
    </w:p>
    <w:p>
      <w:pPr>
        <w:keepNext/>
        <w:spacing w:before="200" w:after="60"/>
      </w:pPr>
      <w:r>
        <w:rPr>
          <w:rFonts w:ascii="Times New Roman" w:hAnsi="Times New Roman"/>
          <w:b/>
          <w:sz w:val="26"/>
        </w:rPr>
        <w:t>1. Scopul lucrării</w:t>
      </w:r>
    </w:p>
    <w:p>
      <w:pPr>
        <w:spacing w:before="0" w:after="80" w:line="276" w:lineRule="auto"/>
        <w:jc w:val="both"/>
      </w:pPr>
      <w:r>
        <w:rPr>
          <w:rFonts w:ascii="Times New Roman" w:hAnsi="Times New Roman"/>
          <w:sz w:val="24"/>
        </w:rPr>
        <w:t>Familiarizarea cu platforma pwn.college, interfața acesteia, mediul de lucru și organizarea exercițiilor practice de securitate informațională.</w:t>
      </w:r>
    </w:p>
    <w:p>
      <w:pPr>
        <w:spacing w:before="0" w:after="80" w:line="276" w:lineRule="auto"/>
        <w:jc w:val="both"/>
      </w:pPr>
      <w:r>
        <w:rPr>
          <w:rFonts w:ascii="Times New Roman" w:hAnsi="Times New Roman"/>
          <w:sz w:val="24"/>
        </w:rPr>
        <w:t>Fiind la început de drum în învățarea sistemului de operare Linux și a conceptelor de securitate, această primă lucrare practică are ca obiectiv explorarea structurii platformei, înțelegerea modului de organizare a exercițiilor și identificarea opțiunilor disponibile pentru interacțiunea cu laboratorul.</w:t>
      </w:r>
    </w:p>
    <w:p>
      <w:pPr>
        <w:keepNext/>
        <w:spacing w:before="200" w:after="60"/>
      </w:pPr>
      <w:r>
        <w:rPr>
          <w:rFonts w:ascii="Times New Roman" w:hAnsi="Times New Roman"/>
          <w:b/>
          <w:sz w:val="26"/>
        </w:rPr>
        <w:t>2. Desfășurarea lucrării</w:t>
      </w:r>
    </w:p>
    <w:p>
      <w:pPr>
        <w:keepNext/>
        <w:spacing w:before="140" w:after="60"/>
      </w:pPr>
      <w:r>
        <w:rPr>
          <w:rFonts w:ascii="Times New Roman" w:hAnsi="Times New Roman"/>
          <w:b/>
          <w:sz w:val="24"/>
        </w:rPr>
        <w:t>Pasul 1. Accesarea platformei pwn.college</w:t>
      </w:r>
    </w:p>
    <w:p>
      <w:pPr>
        <w:spacing w:before="0" w:after="80" w:line="276" w:lineRule="auto"/>
        <w:jc w:val="both"/>
      </w:pPr>
      <w:r>
        <w:rPr>
          <w:rFonts w:ascii="Times New Roman" w:hAnsi="Times New Roman"/>
          <w:sz w:val="24"/>
        </w:rPr>
        <w:t>Am accesat platforma pwn.college și am identificat modulul „Start Here”, destinat familiarizării cu mediul de lucru.</w:t>
      </w:r>
    </w:p>
    <w:p>
      <w:pPr>
        <w:spacing w:before="0" w:after="80" w:line="276" w:lineRule="auto"/>
        <w:jc w:val="both"/>
      </w:pPr>
      <w:r>
        <w:rPr>
          <w:rFonts w:ascii="Times New Roman" w:hAnsi="Times New Roman"/>
          <w:sz w:val="24"/>
        </w:rPr>
        <w:t>Analizând cardul modulului prezentat în interfață (Figura 1), am observat următoarele elemente:</w:t>
      </w:r>
    </w:p>
    <w:p>
      <w:pPr>
        <w:spacing w:before="0" w:after="50" w:line="276" w:lineRule="auto"/>
        <w:ind w:left="397"/>
        <w:jc w:val="both"/>
      </w:pPr>
      <w:r>
        <w:rPr>
          <w:rFonts w:ascii="Times New Roman" w:hAnsi="Times New Roman"/>
          <w:b/>
          <w:sz w:val="24"/>
        </w:rPr>
        <w:t xml:space="preserve">• </w:t>
      </w:r>
      <w:r>
        <w:rPr>
          <w:rFonts w:ascii="Times New Roman" w:hAnsi="Times New Roman"/>
          <w:b/>
          <w:sz w:val="24"/>
        </w:rPr>
        <w:t>Start Here</w:t>
      </w:r>
      <w:r>
        <w:rPr>
          <w:rFonts w:ascii="Times New Roman" w:hAnsi="Times New Roman"/>
          <w:sz w:val="24"/>
        </w:rPr>
        <w:t xml:space="preserve"> – titlul modulului introductiv destinat debutanților;</w:t>
      </w:r>
    </w:p>
    <w:p>
      <w:pPr>
        <w:spacing w:before="0" w:after="50" w:line="276" w:lineRule="auto"/>
        <w:ind w:left="397"/>
        <w:jc w:val="both"/>
      </w:pPr>
      <w:r>
        <w:rPr>
          <w:rFonts w:ascii="Times New Roman" w:hAnsi="Times New Roman"/>
          <w:b/>
          <w:sz w:val="24"/>
        </w:rPr>
        <w:t xml:space="preserve">• </w:t>
      </w:r>
      <w:r>
        <w:rPr>
          <w:rFonts w:ascii="Times New Roman" w:hAnsi="Times New Roman"/>
          <w:b/>
          <w:sz w:val="24"/>
        </w:rPr>
        <w:t>2 Modules și 10 Challenges</w:t>
      </w:r>
      <w:r>
        <w:rPr>
          <w:rFonts w:ascii="Times New Roman" w:hAnsi="Times New Roman"/>
          <w:sz w:val="24"/>
        </w:rPr>
        <w:t xml:space="preserve"> – indică structurarea acestuia în două secțiuni tematice, însumând un număr total de 10 exerciții practice;</w:t>
      </w:r>
    </w:p>
    <w:p>
      <w:pPr>
        <w:spacing w:before="0" w:after="50" w:line="276" w:lineRule="auto"/>
        <w:ind w:left="397"/>
        <w:jc w:val="both"/>
      </w:pPr>
      <w:r>
        <w:rPr>
          <w:rFonts w:ascii="Times New Roman" w:hAnsi="Times New Roman"/>
          <w:b/>
          <w:sz w:val="24"/>
        </w:rPr>
        <w:t xml:space="preserve">• </w:t>
      </w:r>
      <w:r>
        <w:rPr>
          <w:rFonts w:ascii="Times New Roman" w:hAnsi="Times New Roman"/>
          <w:b/>
          <w:sz w:val="24"/>
        </w:rPr>
        <w:t>Emblema centurii albe</w:t>
      </w:r>
      <w:r>
        <w:rPr>
          <w:rFonts w:ascii="Times New Roman" w:hAnsi="Times New Roman"/>
          <w:sz w:val="24"/>
        </w:rPr>
        <w:t xml:space="preserve"> – simbolizează primul nivel de cunoștințe în cadrul parcursului dojo;</w:t>
      </w:r>
    </w:p>
    <w:p>
      <w:pPr>
        <w:spacing w:before="0" w:after="50" w:line="276" w:lineRule="auto"/>
        <w:ind w:left="397"/>
        <w:jc w:val="both"/>
      </w:pPr>
      <w:r>
        <w:rPr>
          <w:rFonts w:ascii="Times New Roman" w:hAnsi="Times New Roman"/>
          <w:b/>
          <w:sz w:val="24"/>
        </w:rPr>
        <w:t xml:space="preserve">• </w:t>
      </w:r>
      <w:r>
        <w:rPr>
          <w:rFonts w:ascii="Times New Roman" w:hAnsi="Times New Roman"/>
          <w:b/>
          <w:sz w:val="24"/>
        </w:rPr>
        <w:t>95 Hacking</w:t>
      </w:r>
      <w:r>
        <w:rPr>
          <w:rFonts w:ascii="Times New Roman" w:hAnsi="Times New Roman"/>
          <w:sz w:val="24"/>
        </w:rPr>
        <w:t xml:space="preserve"> – reflectă numărul de utilizatori care lucrau activ în cadrul modulului la momentul accesării.</w:t>
      </w:r>
    </w:p>
    <w:p>
      <w:pPr>
        <w:keepNext/>
        <w:spacing w:before="100" w:after="60"/>
        <w:jc w:val="center"/>
      </w:pPr>
      <w:r>
        <w:drawing>
          <wp:inline xmlns:a="http://schemas.openxmlformats.org/drawingml/2006/main" xmlns:pic="http://schemas.openxmlformats.org/drawingml/2006/picture">
            <wp:extent cx="2448000" cy="2464265"/>
            <wp:docPr id="1" name="Picture 1"/>
            <wp:cNvGraphicFramePr>
              <a:graphicFrameLocks noChangeAspect="1"/>
            </wp:cNvGraphicFramePr>
            <a:graphic>
              <a:graphicData uri="http://schemas.openxmlformats.org/drawingml/2006/picture">
                <pic:pic>
                  <pic:nvPicPr>
                    <pic:cNvPr id="0" name="figura1_start_here.png"/>
                    <pic:cNvPicPr/>
                  </pic:nvPicPr>
                  <pic:blipFill>
                    <a:blip r:embed="rId10"/>
                    <a:stretch>
                      <a:fillRect/>
                    </a:stretch>
                  </pic:blipFill>
                  <pic:spPr>
                    <a:xfrm>
                      <a:off x="0" y="0"/>
                      <a:ext cx="2448000" cy="2464265"/>
                    </a:xfrm>
                    <a:prstGeom prst="rect"/>
                  </pic:spPr>
                </pic:pic>
              </a:graphicData>
            </a:graphic>
          </wp:inline>
        </w:drawing>
      </w:r>
    </w:p>
    <w:p>
      <w:pPr>
        <w:spacing w:before="40" w:after="120"/>
        <w:jc w:val="center"/>
      </w:pPr>
      <w:r>
        <w:rPr>
          <w:rFonts w:ascii="Times New Roman" w:hAnsi="Times New Roman"/>
          <w:b/>
          <w:sz w:val="22"/>
        </w:rPr>
        <w:t>Figura 1. Modulul Start Here de pe platforma pwn.college.</w:t>
      </w:r>
    </w:p>
    <w:p>
      <w:r>
        <w:br w:type="page"/>
      </w:r>
    </w:p>
    <w:p>
      <w:pPr>
        <w:keepNext/>
        <w:spacing w:before="140" w:after="60"/>
      </w:pPr>
      <w:r>
        <w:rPr>
          <w:rFonts w:ascii="Times New Roman" w:hAnsi="Times New Roman"/>
          <w:b/>
          <w:sz w:val="24"/>
        </w:rPr>
        <w:t>Pasul 2. Familiarizarea cu mediul de lucru</w:t>
      </w:r>
    </w:p>
    <w:p>
      <w:pPr>
        <w:spacing w:before="0" w:after="80" w:line="276" w:lineRule="auto"/>
        <w:jc w:val="both"/>
      </w:pPr>
      <w:r>
        <w:rPr>
          <w:rFonts w:ascii="Times New Roman" w:hAnsi="Times New Roman"/>
          <w:sz w:val="24"/>
        </w:rPr>
        <w:t>Am examinat secțiunea „The Challenge Environment”, unde sunt prezentate exerciții despre programele utilizate în provocări, fișierele flag, modul privilegiat și directoarele personale persistente.</w:t>
      </w:r>
    </w:p>
    <w:p>
      <w:pPr>
        <w:spacing w:before="0" w:after="80" w:line="276" w:lineRule="auto"/>
        <w:jc w:val="both"/>
      </w:pPr>
      <w:r>
        <w:rPr>
          <w:rFonts w:ascii="Times New Roman" w:hAnsi="Times New Roman"/>
          <w:sz w:val="24"/>
        </w:rPr>
        <w:t>În partea superioară a secțiunii am observat mesajul introductiv „HACKER BEWARE!”, care avertizează că exercițiile presupun cunoașterea comenzilor de bază din terminalul Linux. Pentru utilizatorii care au nevoie de recapitulare, platforma recomandă parcurgerea prealabilă a modulului „Linux Luminarium”.</w:t>
      </w:r>
    </w:p>
    <w:p>
      <w:pPr>
        <w:spacing w:before="0" w:after="80" w:line="276" w:lineRule="auto"/>
        <w:jc w:val="both"/>
      </w:pPr>
      <w:r>
        <w:rPr>
          <w:rFonts w:ascii="Times New Roman" w:hAnsi="Times New Roman"/>
          <w:sz w:val="24"/>
        </w:rPr>
        <w:t>Sub acest mesaj, am analizat cele cinci exerciții pregătite pentru înțelegerea mediului de lucru (Figura 2):</w:t>
      </w:r>
    </w:p>
    <w:p>
      <w:pPr>
        <w:spacing w:before="0" w:after="50" w:line="276" w:lineRule="auto"/>
        <w:ind w:left="397"/>
        <w:jc w:val="both"/>
      </w:pPr>
      <w:r>
        <w:rPr>
          <w:rFonts w:ascii="Times New Roman" w:hAnsi="Times New Roman"/>
          <w:b/>
          <w:sz w:val="24"/>
        </w:rPr>
        <w:t xml:space="preserve">• </w:t>
      </w:r>
      <w:r>
        <w:rPr>
          <w:rFonts w:ascii="Times New Roman" w:hAnsi="Times New Roman"/>
          <w:b/>
          <w:sz w:val="24"/>
        </w:rPr>
        <w:t>Challenge Programs</w:t>
      </w:r>
      <w:r>
        <w:rPr>
          <w:rFonts w:ascii="Times New Roman" w:hAnsi="Times New Roman"/>
          <w:sz w:val="24"/>
        </w:rPr>
        <w:t xml:space="preserve"> – exerciții dedicate modului în care funcționează și se rulează programele utilizate în provocări (9 hacking, 38.395 solves);</w:t>
      </w:r>
    </w:p>
    <w:p>
      <w:pPr>
        <w:spacing w:before="0" w:after="50" w:line="276" w:lineRule="auto"/>
        <w:ind w:left="397"/>
        <w:jc w:val="both"/>
      </w:pPr>
      <w:r>
        <w:rPr>
          <w:rFonts w:ascii="Times New Roman" w:hAnsi="Times New Roman"/>
          <w:b/>
          <w:sz w:val="24"/>
        </w:rPr>
        <w:t xml:space="preserve">• </w:t>
      </w:r>
      <w:r>
        <w:rPr>
          <w:rFonts w:ascii="Times New Roman" w:hAnsi="Times New Roman"/>
          <w:b/>
          <w:sz w:val="24"/>
        </w:rPr>
        <w:t>The Flag File</w:t>
      </w:r>
      <w:r>
        <w:rPr>
          <w:rFonts w:ascii="Times New Roman" w:hAnsi="Times New Roman"/>
          <w:sz w:val="24"/>
        </w:rPr>
        <w:t xml:space="preserve"> – exerciții care prezintă conceptul de fișier flag, a cărui citire reprezintă obiectivul principal și dovada rezolvării sarcinii (4 hacking, 39.243 solves);</w:t>
      </w:r>
    </w:p>
    <w:p>
      <w:pPr>
        <w:spacing w:before="0" w:after="50" w:line="276" w:lineRule="auto"/>
        <w:ind w:left="397"/>
        <w:jc w:val="both"/>
      </w:pPr>
      <w:r>
        <w:rPr>
          <w:rFonts w:ascii="Times New Roman" w:hAnsi="Times New Roman"/>
          <w:b/>
          <w:sz w:val="24"/>
        </w:rPr>
        <w:t xml:space="preserve">• </w:t>
      </w:r>
      <w:r>
        <w:rPr>
          <w:rFonts w:ascii="Times New Roman" w:hAnsi="Times New Roman"/>
          <w:b/>
          <w:sz w:val="24"/>
        </w:rPr>
        <w:t>Using Privileged Mode</w:t>
      </w:r>
      <w:r>
        <w:rPr>
          <w:rFonts w:ascii="Times New Roman" w:hAnsi="Times New Roman"/>
          <w:sz w:val="24"/>
        </w:rPr>
        <w:t xml:space="preserve"> – exerciții ce descriu lucrul în modul privilegiat (drepturi root / administrative) în mediul de lucru (9 hacking, 35.754 solves);</w:t>
      </w:r>
    </w:p>
    <w:p>
      <w:pPr>
        <w:spacing w:before="0" w:after="50" w:line="276" w:lineRule="auto"/>
        <w:ind w:left="397"/>
        <w:jc w:val="both"/>
      </w:pPr>
      <w:r>
        <w:rPr>
          <w:rFonts w:ascii="Times New Roman" w:hAnsi="Times New Roman"/>
          <w:b/>
          <w:sz w:val="24"/>
        </w:rPr>
        <w:t xml:space="preserve">• </w:t>
      </w:r>
      <w:r>
        <w:rPr>
          <w:rFonts w:ascii="Times New Roman" w:hAnsi="Times New Roman"/>
          <w:b/>
          <w:sz w:val="24"/>
        </w:rPr>
        <w:t>Persistent Home Directories - One</w:t>
      </w:r>
      <w:r>
        <w:rPr>
          <w:rFonts w:ascii="Times New Roman" w:hAnsi="Times New Roman"/>
          <w:sz w:val="24"/>
        </w:rPr>
        <w:t xml:space="preserve"> – prima parte despre funcționarea directorului personal persistent (/home), unde datele rămân salvate între sesiuni (2 hacking, 34.412 solves);</w:t>
      </w:r>
    </w:p>
    <w:p>
      <w:pPr>
        <w:spacing w:before="0" w:after="50" w:line="276" w:lineRule="auto"/>
        <w:ind w:left="397"/>
        <w:jc w:val="both"/>
      </w:pPr>
      <w:r>
        <w:rPr>
          <w:rFonts w:ascii="Times New Roman" w:hAnsi="Times New Roman"/>
          <w:b/>
          <w:sz w:val="24"/>
        </w:rPr>
        <w:t xml:space="preserve">• </w:t>
      </w:r>
      <w:r>
        <w:rPr>
          <w:rFonts w:ascii="Times New Roman" w:hAnsi="Times New Roman"/>
          <w:b/>
          <w:sz w:val="24"/>
        </w:rPr>
        <w:t>Persistent Home Directories - Two</w:t>
      </w:r>
      <w:r>
        <w:rPr>
          <w:rFonts w:ascii="Times New Roman" w:hAnsi="Times New Roman"/>
          <w:sz w:val="24"/>
        </w:rPr>
        <w:t xml:space="preserve"> – continuarea exercițiului privind persistența fișierelor și configurațiilor utilizatorului (9 hacking, 34.251 solves).</w:t>
      </w:r>
    </w:p>
    <w:p>
      <w:pPr>
        <w:spacing w:before="0" w:after="80" w:line="276" w:lineRule="auto"/>
        <w:jc w:val="both"/>
      </w:pPr>
      <w:r>
        <w:rPr>
          <w:rFonts w:ascii="Times New Roman" w:hAnsi="Times New Roman"/>
          <w:sz w:val="24"/>
        </w:rPr>
        <w:t>În dreptul fiecărei provocări sunt afișate statisticile privind utilizatorii activi și numărul de rezolvări totale. În această etapă am explorat strict prezentarea și organizarea mediului, fără a demara provocările.</w:t>
      </w:r>
    </w:p>
    <w:p>
      <w:pPr>
        <w:keepNext/>
        <w:spacing w:before="100" w:after="60"/>
        <w:jc w:val="center"/>
      </w:pPr>
      <w:r>
        <w:drawing>
          <wp:inline xmlns:a="http://schemas.openxmlformats.org/drawingml/2006/main" xmlns:pic="http://schemas.openxmlformats.org/drawingml/2006/picture">
            <wp:extent cx="5400000" cy="2373047"/>
            <wp:docPr id="2" name="Picture 2"/>
            <wp:cNvGraphicFramePr>
              <a:graphicFrameLocks noChangeAspect="1"/>
            </wp:cNvGraphicFramePr>
            <a:graphic>
              <a:graphicData uri="http://schemas.openxmlformats.org/drawingml/2006/picture">
                <pic:pic>
                  <pic:nvPicPr>
                    <pic:cNvPr id="0" name="figura2_challenge_environment.png"/>
                    <pic:cNvPicPr/>
                  </pic:nvPicPr>
                  <pic:blipFill>
                    <a:blip r:embed="rId11"/>
                    <a:stretch>
                      <a:fillRect/>
                    </a:stretch>
                  </pic:blipFill>
                  <pic:spPr>
                    <a:xfrm>
                      <a:off x="0" y="0"/>
                      <a:ext cx="5400000" cy="2373047"/>
                    </a:xfrm>
                    <a:prstGeom prst="rect"/>
                  </pic:spPr>
                </pic:pic>
              </a:graphicData>
            </a:graphic>
          </wp:inline>
        </w:drawing>
      </w:r>
    </w:p>
    <w:p>
      <w:pPr>
        <w:spacing w:before="40" w:after="120"/>
        <w:jc w:val="center"/>
      </w:pPr>
      <w:r>
        <w:rPr>
          <w:rFonts w:ascii="Times New Roman" w:hAnsi="Times New Roman"/>
          <w:b/>
          <w:sz w:val="22"/>
        </w:rPr>
        <w:t>Figura 2. Secțiunea The Challenge Environment.</w:t>
      </w:r>
    </w:p>
    <w:p>
      <w:r>
        <w:br w:type="page"/>
      </w:r>
    </w:p>
    <w:p>
      <w:pPr>
        <w:keepNext/>
        <w:spacing w:before="140" w:after="60"/>
      </w:pPr>
      <w:r>
        <w:rPr>
          <w:rFonts w:ascii="Times New Roman" w:hAnsi="Times New Roman"/>
          <w:b/>
          <w:sz w:val="24"/>
        </w:rPr>
        <w:t>Pasul 3. Studierea metodelor de interacțiune</w:t>
      </w:r>
    </w:p>
    <w:p>
      <w:pPr>
        <w:spacing w:before="0" w:after="80" w:line="276" w:lineRule="auto"/>
        <w:jc w:val="both"/>
      </w:pPr>
      <w:r>
        <w:rPr>
          <w:rFonts w:ascii="Times New Roman" w:hAnsi="Times New Roman"/>
          <w:sz w:val="24"/>
        </w:rPr>
        <w:t>Am examinat secțiunea „Interacting with the Dojo”, care prezintă modalitățile de utilizare a terminalului, VSCode, interfeței grafice și conexiunii SSH. Am identificat și opțiunea de repornire a exercițiilor.</w:t>
      </w:r>
    </w:p>
    <w:p>
      <w:pPr>
        <w:spacing w:before="0" w:after="80" w:line="276" w:lineRule="auto"/>
        <w:jc w:val="both"/>
      </w:pPr>
      <w:r>
        <w:rPr>
          <w:rFonts w:ascii="Times New Roman" w:hAnsi="Times New Roman"/>
          <w:sz w:val="24"/>
        </w:rPr>
        <w:t>Examinând lista de instrumente disponibile în această pagină (Figura 3), am identificat opțiunile de lucru:</w:t>
      </w:r>
    </w:p>
    <w:p>
      <w:pPr>
        <w:spacing w:before="0" w:after="50" w:line="276" w:lineRule="auto"/>
        <w:ind w:left="397"/>
        <w:jc w:val="both"/>
      </w:pPr>
      <w:r>
        <w:rPr>
          <w:rFonts w:ascii="Times New Roman" w:hAnsi="Times New Roman"/>
          <w:b/>
          <w:sz w:val="24"/>
        </w:rPr>
        <w:t xml:space="preserve">• </w:t>
      </w:r>
      <w:r>
        <w:rPr>
          <w:rFonts w:ascii="Times New Roman" w:hAnsi="Times New Roman"/>
          <w:b/>
          <w:sz w:val="24"/>
        </w:rPr>
        <w:t>Getting Started</w:t>
      </w:r>
      <w:r>
        <w:rPr>
          <w:rFonts w:ascii="Times New Roman" w:hAnsi="Times New Roman"/>
          <w:sz w:val="24"/>
        </w:rPr>
        <w:t xml:space="preserve"> – ghid introductiv marcat printr-o pictogramă video;</w:t>
      </w:r>
    </w:p>
    <w:p>
      <w:pPr>
        <w:spacing w:before="0" w:after="50" w:line="276" w:lineRule="auto"/>
        <w:ind w:left="397"/>
        <w:jc w:val="both"/>
      </w:pPr>
      <w:r>
        <w:rPr>
          <w:rFonts w:ascii="Times New Roman" w:hAnsi="Times New Roman"/>
          <w:b/>
          <w:sz w:val="24"/>
        </w:rPr>
        <w:t xml:space="preserve">• </w:t>
      </w:r>
      <w:r>
        <w:rPr>
          <w:rFonts w:ascii="Times New Roman" w:hAnsi="Times New Roman"/>
          <w:b/>
          <w:sz w:val="24"/>
        </w:rPr>
        <w:t>Using the Terminal</w:t>
      </w:r>
      <w:r>
        <w:rPr>
          <w:rFonts w:ascii="Times New Roman" w:hAnsi="Times New Roman"/>
          <w:sz w:val="24"/>
        </w:rPr>
        <w:t xml:space="preserve"> – interacțiunea directă prin linia de comandă printr-un terminal integrat în browser (25 hacking, 46.186 solves);</w:t>
      </w:r>
    </w:p>
    <w:p>
      <w:pPr>
        <w:spacing w:before="0" w:after="50" w:line="276" w:lineRule="auto"/>
        <w:ind w:left="397"/>
        <w:jc w:val="both"/>
      </w:pPr>
      <w:r>
        <w:rPr>
          <w:rFonts w:ascii="Times New Roman" w:hAnsi="Times New Roman"/>
          <w:b/>
          <w:sz w:val="24"/>
        </w:rPr>
        <w:t xml:space="preserve">• </w:t>
      </w:r>
      <w:r>
        <w:rPr>
          <w:rFonts w:ascii="Times New Roman" w:hAnsi="Times New Roman"/>
          <w:b/>
          <w:sz w:val="24"/>
        </w:rPr>
        <w:t>Using the VSCode Workspace</w:t>
      </w:r>
      <w:r>
        <w:rPr>
          <w:rFonts w:ascii="Times New Roman" w:hAnsi="Times New Roman"/>
          <w:sz w:val="24"/>
        </w:rPr>
        <w:t xml:space="preserve"> – deschiderea unui mediu Visual Studio Code în browser pentru gestionarea fișierelor și codului (14 hacking, 59.066 solves);</w:t>
      </w:r>
    </w:p>
    <w:p>
      <w:pPr>
        <w:spacing w:before="0" w:after="50" w:line="276" w:lineRule="auto"/>
        <w:ind w:left="397"/>
        <w:jc w:val="both"/>
      </w:pPr>
      <w:r>
        <w:rPr>
          <w:rFonts w:ascii="Times New Roman" w:hAnsi="Times New Roman"/>
          <w:b/>
          <w:sz w:val="24"/>
        </w:rPr>
        <w:t xml:space="preserve">• </w:t>
      </w:r>
      <w:r>
        <w:rPr>
          <w:rFonts w:ascii="Times New Roman" w:hAnsi="Times New Roman"/>
          <w:b/>
          <w:sz w:val="24"/>
        </w:rPr>
        <w:t>Using the GUI Desktop</w:t>
      </w:r>
      <w:r>
        <w:rPr>
          <w:rFonts w:ascii="Times New Roman" w:hAnsi="Times New Roman"/>
          <w:sz w:val="24"/>
        </w:rPr>
        <w:t xml:space="preserve"> – accesarea unui desktop grafic Linux complet direct în navigatorul web (1 hacking, 54.941 solves);</w:t>
      </w:r>
    </w:p>
    <w:p>
      <w:pPr>
        <w:spacing w:before="0" w:after="50" w:line="276" w:lineRule="auto"/>
        <w:ind w:left="397"/>
        <w:jc w:val="both"/>
      </w:pPr>
      <w:r>
        <w:rPr>
          <w:rFonts w:ascii="Times New Roman" w:hAnsi="Times New Roman"/>
          <w:b/>
          <w:sz w:val="24"/>
        </w:rPr>
        <w:t xml:space="preserve">• </w:t>
      </w:r>
      <w:r>
        <w:rPr>
          <w:rFonts w:ascii="Times New Roman" w:hAnsi="Times New Roman"/>
          <w:b/>
          <w:sz w:val="24"/>
        </w:rPr>
        <w:t>Pasting into the Desktop</w:t>
      </w:r>
      <w:r>
        <w:rPr>
          <w:rFonts w:ascii="Times New Roman" w:hAnsi="Times New Roman"/>
          <w:sz w:val="24"/>
        </w:rPr>
        <w:t xml:space="preserve"> – ghid privind mecanismul de lipire a textului și comenzilor în mediul grafic (5 hacking, 52.016 solves);</w:t>
      </w:r>
    </w:p>
    <w:p>
      <w:pPr>
        <w:spacing w:before="0" w:after="50" w:line="276" w:lineRule="auto"/>
        <w:ind w:left="397"/>
        <w:jc w:val="both"/>
      </w:pPr>
      <w:r>
        <w:rPr>
          <w:rFonts w:ascii="Times New Roman" w:hAnsi="Times New Roman"/>
          <w:b/>
          <w:sz w:val="24"/>
        </w:rPr>
        <w:t xml:space="preserve">• </w:t>
      </w:r>
      <w:r>
        <w:rPr>
          <w:rFonts w:ascii="Times New Roman" w:hAnsi="Times New Roman"/>
          <w:b/>
          <w:sz w:val="24"/>
        </w:rPr>
        <w:t>Connecting over SSH [OPTIONAL]</w:t>
      </w:r>
      <w:r>
        <w:rPr>
          <w:rFonts w:ascii="Times New Roman" w:hAnsi="Times New Roman"/>
          <w:sz w:val="24"/>
        </w:rPr>
        <w:t xml:space="preserve"> – posibilitatea conectării securizate prin SSH din propriul terminal local (7 hacking, 11.648 solves);</w:t>
      </w:r>
    </w:p>
    <w:p>
      <w:pPr>
        <w:spacing w:before="0" w:after="50" w:line="276" w:lineRule="auto"/>
        <w:ind w:left="397"/>
        <w:jc w:val="both"/>
      </w:pPr>
      <w:r>
        <w:rPr>
          <w:rFonts w:ascii="Times New Roman" w:hAnsi="Times New Roman"/>
          <w:b/>
          <w:sz w:val="24"/>
        </w:rPr>
        <w:t xml:space="preserve">• </w:t>
      </w:r>
      <w:r>
        <w:rPr>
          <w:rFonts w:ascii="Times New Roman" w:hAnsi="Times New Roman"/>
          <w:b/>
          <w:sz w:val="24"/>
        </w:rPr>
        <w:t>Restarting Challenges</w:t>
      </w:r>
      <w:r>
        <w:rPr>
          <w:rFonts w:ascii="Times New Roman" w:hAnsi="Times New Roman"/>
          <w:sz w:val="24"/>
        </w:rPr>
        <w:t xml:space="preserve"> – opțiune utilă pentru repornirea și resetarea containerului în cazul apariției problemelor (10 hacking, 45.930 solves);</w:t>
      </w:r>
    </w:p>
    <w:p>
      <w:pPr>
        <w:spacing w:before="0" w:after="50" w:line="276" w:lineRule="auto"/>
        <w:ind w:left="397"/>
        <w:jc w:val="both"/>
      </w:pPr>
      <w:r>
        <w:rPr>
          <w:rFonts w:ascii="Times New Roman" w:hAnsi="Times New Roman"/>
          <w:b/>
          <w:sz w:val="24"/>
        </w:rPr>
        <w:t xml:space="preserve">• </w:t>
      </w:r>
      <w:r>
        <w:rPr>
          <w:rFonts w:ascii="Times New Roman" w:hAnsi="Times New Roman"/>
          <w:b/>
          <w:sz w:val="24"/>
        </w:rPr>
        <w:t>Getting Help [OPTIONAL]</w:t>
      </w:r>
      <w:r>
        <w:rPr>
          <w:rFonts w:ascii="Times New Roman" w:hAnsi="Times New Roman"/>
          <w:sz w:val="24"/>
        </w:rPr>
        <w:t xml:space="preserve"> – secțiune dedicată resurselor de suport și ajutor comunitar (3 hacking, 27.763 solves).</w:t>
      </w:r>
    </w:p>
    <w:p>
      <w:pPr>
        <w:spacing w:before="0" w:after="80" w:line="276" w:lineRule="auto"/>
        <w:jc w:val="both"/>
      </w:pPr>
      <w:r>
        <w:rPr>
          <w:rFonts w:ascii="Times New Roman" w:hAnsi="Times New Roman"/>
          <w:sz w:val="24"/>
        </w:rPr>
        <w:t>Am constatat că platforma oferă multiple posibilități de lucru, fiecare student putând alege mediul cel mai comod. Am studiat aceste facilități din interfață, fără a începe rezolvarea provocărilor.</w:t>
      </w:r>
    </w:p>
    <w:p>
      <w:pPr>
        <w:keepNext/>
        <w:spacing w:before="100" w:after="60"/>
        <w:jc w:val="center"/>
      </w:pPr>
      <w:r>
        <w:drawing>
          <wp:inline xmlns:a="http://schemas.openxmlformats.org/drawingml/2006/main" xmlns:pic="http://schemas.openxmlformats.org/drawingml/2006/picture">
            <wp:extent cx="4860000" cy="2961562"/>
            <wp:docPr id="3" name="Picture 3"/>
            <wp:cNvGraphicFramePr>
              <a:graphicFrameLocks noChangeAspect="1"/>
            </wp:cNvGraphicFramePr>
            <a:graphic>
              <a:graphicData uri="http://schemas.openxmlformats.org/drawingml/2006/picture">
                <pic:pic>
                  <pic:nvPicPr>
                    <pic:cNvPr id="0" name="figura3_interacting_dojo.png"/>
                    <pic:cNvPicPr/>
                  </pic:nvPicPr>
                  <pic:blipFill>
                    <a:blip r:embed="rId12"/>
                    <a:stretch>
                      <a:fillRect/>
                    </a:stretch>
                  </pic:blipFill>
                  <pic:spPr>
                    <a:xfrm>
                      <a:off x="0" y="0"/>
                      <a:ext cx="4860000" cy="2961562"/>
                    </a:xfrm>
                    <a:prstGeom prst="rect"/>
                  </pic:spPr>
                </pic:pic>
              </a:graphicData>
            </a:graphic>
          </wp:inline>
        </w:drawing>
      </w:r>
    </w:p>
    <w:p>
      <w:pPr>
        <w:spacing w:before="40" w:after="120"/>
        <w:jc w:val="center"/>
      </w:pPr>
      <w:r>
        <w:rPr>
          <w:rFonts w:ascii="Times New Roman" w:hAnsi="Times New Roman"/>
          <w:b/>
          <w:sz w:val="22"/>
        </w:rPr>
        <w:t>Figura 3. Secțiunea Interacting with the Dojo.</w:t>
      </w:r>
    </w:p>
    <w:p>
      <w:pPr>
        <w:keepNext/>
        <w:spacing w:before="200" w:after="60"/>
      </w:pPr>
      <w:r>
        <w:rPr>
          <w:rFonts w:ascii="Times New Roman" w:hAnsi="Times New Roman"/>
          <w:b/>
          <w:sz w:val="26"/>
        </w:rPr>
        <w:t>3. Concluzie</w:t>
      </w:r>
    </w:p>
    <w:p>
      <w:pPr>
        <w:spacing w:before="0" w:after="80" w:line="276" w:lineRule="auto"/>
        <w:jc w:val="both"/>
      </w:pPr>
      <w:r>
        <w:rPr>
          <w:rFonts w:ascii="Times New Roman" w:hAnsi="Times New Roman"/>
          <w:sz w:val="24"/>
        </w:rPr>
        <w:t>În urma acestei lucrări m-am familiarizat cu platforma pwn.college și cu organizarea exercițiilor practice. Am identificat principalele secțiuni ale mediului de lucru și metodele prin care pot interacționa cu acesta.</w:t>
      </w:r>
    </w:p>
    <w:p>
      <w:pPr>
        <w:spacing w:before="0" w:after="80" w:line="276" w:lineRule="auto"/>
        <w:jc w:val="both"/>
      </w:pPr>
      <w:r>
        <w:rPr>
          <w:rFonts w:ascii="Times New Roman" w:hAnsi="Times New Roman"/>
          <w:sz w:val="24"/>
        </w:rPr>
        <w:t>Am înțeles structura modulului „Start Here”, importanța organizării din „The Challenge Environment” (cum funcționează programele, fișierele flag, drepturile privilegiate și directoarele persistente) și variantele de lucru din „Interacting with the Dojo” (Terminal, VSCode, Desktop grafic, SSH și comanda de restart a provocărilor). Aceste cunoștințe mă vor ajuta la realizarea exercițiilor viitoare de Linux și securitate informațională.</w:t>
      </w:r>
    </w:p>
    <w:sectPr w:rsidR="00FC693F" w:rsidRPr="0006063C" w:rsidSect="00034616">
      <w:footerReference w:type="default" r:id="rId9"/>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jc w:val="center"/>
    </w:pPr>
    <w:r>
      <w:rPr>
        <w:rFonts w:ascii="Times New Roman" w:hAnsi="Times New Roman"/>
        <w:sz w:val="20"/>
      </w:rPr>
      <w:t xml:space="preserve">Pagina </w:t>
      <w:fldSimple w:instr="PAGE"/>
    </w:r>
    <w:r>
      <w:rPr>
        <w:rFonts w:ascii="Times New Roman" w:hAnsi="Times New Roman"/>
        <w:sz w:val="20"/>
      </w:rPr>
      <w:t xml:space="preserve"> din </w:t>
      <w:fldSimple w:instr="NUMPAGES"/>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