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Middlesex Superior Court: Bo Shang vs MIT and ADAM HARTZ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DEPARTMENT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OF THE TRIAL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Civil Action No. __________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MASSACHUSETTS INSTITUTE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ADAM HARTZ,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Harm to Plaintiff’s standing among peers when referencing the Thesis.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DEMAND FOR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Treble Damages under G.L. c. 93A, §§ 9 or 11, and attorneys’ fees, if the Court finds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Defendants committed an unfair or deceptive act in violation of c. 93A;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Injunctive Relief compelling MIT to retract or clarify portions of the Thesis, including a public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correction of the alleged false statement regarding Python syntax errors;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