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MA Superior Court Middlsex County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COMMONWEALTH OF MASSACHUSETTS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MIDDLESEX COUNTY SUPERIOR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BO SHANG,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1. GEJING DENG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2. FU SHANG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 This is a civil action brought by Plaintiff, Bo Shang (“Plaintiff”), against Defendants,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Plaintiff, Bo Shang, is an individual residing at 10 McCafferty Way, Burlington,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2:39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Upon information and belief, Defendant, Gejing Deng, is an individual who resides in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4 Upon information and belief, Defendant, Fu Shang, is an individual who resides in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5 This Court has subject matter jurisdiction over this action because the amount in controversy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Venue is proper in Middlesex County pursuant to G.L. c. 223 because the events at issue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STATEMENT OF FACTS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2:59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Plaintiff was previously under certain pretrial release conditions and was no longer required to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On or about February 8, 2025, Defendants called the Burlington Police Department and falsely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Defendants knew or should have known that Plaintiff’s pretrial release conditions did not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2:72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Defendants’ false statements to law enforcement were malicious and intended to harm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11 As a direct and proximate result of Defendants’ actions, Plaintiff has suffered damages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3:87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 – DEFAMATION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12 Plaintiff realleges and incorporates by reference all preceding paragraphs as if fully set forth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13 Defendants published false statements regarding Plaintiff’s compliance with his pretrial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3:99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14 These statements were false and defamatory, as they portrayed Plaintiff as violating legal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3:104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15 Defendants acted negligently, recklessly, or with actual malice in making such statements.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4:109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16 As a direct and proximate result of these defamatory statements, Plaintiff suffered harm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COUNT II – INTENTIONAL INFLICTION OF EMOTIONAL DISTRESS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17 Plaintiff realleges and incorporates by reference all preceding paragraphs as if fully set forth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4:124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18 Defendants’ conduct, including falsely reporting Plaintiff to law enforcement for a violation of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4:127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19 Defendants intended to cause emotional distress or knew, or should have known, that such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20 As a direct and proximate result of Defendants’ conduct, Plaintiff has experienced severe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21 Plaintiff realleges and incorporates by reference all preceding paragraphs as if fully set forth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22 Defendants used the legal or law enforcement process (calling the police under false pretenses)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5:149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23 The use of such process was not justified by any legitimate cause or reason (see Kelley v.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24 As a direct and proximate result, Plaintiff has incurred damages including emotional distress,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PRAYER FOR RELIEF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C Costs, disbursements, and reasonable attorney’s fees as allowed by law (see G.L. c. 231,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D Issuance of protective orders as described herein or as the Court deems appropriate (see G.L.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5:180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JURY DEMAND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6:185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