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COMPLAINT AND JURY DEMAND (AS ENHANCED WITH ADDITIONAL</w:t>
      </w:r>
    </w:p>
    <w:p/>
    <w:p>
      <w:pPr>
        <w:jc w:val="center"/>
      </w:pPr>
      <w:r>
        <w:rPr>
          <w:b/>
          <w:sz w:val="24"/>
        </w:rPr>
        <w:t>MASSACHUSETTS AND MIDDLESEX COUNTY CASE LAW CITATIONS)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authorities, and drastically emphasizing via proof by contraposition</w:t>
      </w:r>
    </w:p>
    <w:p>
      <w:pPr>
        <w:jc w:val="left"/>
      </w:pPr>
      <w:r>
        <w:rPr>
          <w:sz w:val="24"/>
        </w:rPr>
        <w:t>that if the DA Office did not consider the Plaintiff an “enemy combatant,” then it would not</w:t>
      </w:r>
    </w:p>
    <w:p>
      <w:pPr>
        <w:jc w:val="left"/>
      </w:pPr>
      <w:r>
        <w:rPr>
          <w:sz w:val="24"/>
        </w:rPr>
        <w:t>have filed a data request on no possibly related data that would have helped investigate</w:t>
      </w:r>
    </w:p>
    <w:p>
      <w:pPr>
        <w:jc w:val="left"/>
      </w:pPr>
      <w:r>
        <w:rPr>
          <w:sz w:val="24"/>
        </w:rPr>
        <w:t>or prosecute the alleged A&amp;B charge. This axiom is reinforced throughout the following</w:t>
      </w:r>
    </w:p>
    <w:p>
      <w:pPr>
        <w:jc w:val="left"/>
      </w:pPr>
      <w:r>
        <w:rPr>
          <w:sz w:val="24"/>
        </w:rPr>
        <w:t>allegations, with extensive citations to Massachusetts and Middlesex County case law</w:t>
      </w:r>
    </w:p>
    <w:p>
      <w:pPr>
        <w:jc w:val="left"/>
      </w:pPr>
      <w:r>
        <w:rPr>
          <w:sz w:val="24"/>
        </w:rPr>
        <w:t>addressing improper data requests: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2A.    Plaintiff emphasizes that on January 9, 2025, Plaintiff achieved a historic legal</w:t>
      </w:r>
    </w:p>
    <w:p>
      <w:pPr>
        <w:jc w:val="left"/>
      </w:pPr>
      <w:r>
        <w:rPr>
          <w:sz w:val="24"/>
        </w:rPr>
        <w:t>milestone by prevailing in the first ever Section 230 lawsuit against Twitch Interactive.</w:t>
      </w:r>
    </w:p>
    <w:p>
      <w:pPr>
        <w:jc w:val="left"/>
      </w:pPr>
      <w:r>
        <w:rPr>
          <w:sz w:val="24"/>
        </w:rPr>
        <w:t>While the case was dismissed with prejudice later on Feb 5 2025, one day after the</w:t>
      </w:r>
    </w:p>
    <w:p>
      <w:pPr>
        <w:jc w:val="left"/>
      </w:pPr>
      <w:r>
        <w:rPr>
          <w:sz w:val="24"/>
        </w:rPr>
        <w:t>Plaintiff initiated Operation Zeus Thunder in a filing, it served as a legal victory</w:t>
      </w:r>
    </w:p>
    <w:p>
      <w:pPr>
        <w:jc w:val="left"/>
      </w:pPr>
      <w:r>
        <w:rPr>
          <w:sz w:val="24"/>
        </w:rPr>
        <w:t>for Plaintiff, establishing that Plaintiff’s Section 230 claim was recognized. This</w:t>
      </w:r>
    </w:p>
    <w:p>
      <w:pPr>
        <w:jc w:val="left"/>
      </w:pPr>
      <w:r>
        <w:rPr>
          <w:sz w:val="24"/>
        </w:rPr>
        <w:t>success marks only an initial step in “Operation Zeus Thunder,” Plaintiff’s campaign</w:t>
      </w:r>
    </w:p>
    <w:p>
      <w:pPr>
        <w:jc w:val="left"/>
      </w:pPr>
      <w:r>
        <w:rPr>
          <w:sz w:val="24"/>
        </w:rPr>
        <w:t>to eliminate harmful gaming disorder on a global scale.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2B.    Plaintiff filed a motion to dismiss Twitch on January 8, 2025, in the same proceeding,</w:t>
      </w:r>
    </w:p>
    <w:p>
      <w:pPr>
        <w:jc w:val="left"/>
      </w:pPr>
      <w:r>
        <w:rPr>
          <w:sz w:val="24"/>
        </w:rPr>
        <w:t>while also seeking authorization to deploy cyber measures against technology</w:t>
      </w:r>
    </w:p>
    <w:p>
      <w:pPr>
        <w:jc w:val="left"/>
      </w:pPr>
      <w:r>
        <w:rPr>
          <w:sz w:val="24"/>
        </w:rPr>
        <w:t>companies like Apple and Google. That filing coincided with the Middlesex District</w:t>
      </w:r>
    </w:p>
    <w:p>
      <w:pPr>
        <w:jc w:val="left"/>
      </w:pPr>
      <w:r>
        <w:rPr>
          <w:sz w:val="24"/>
        </w:rPr>
        <w:t>Attorney’s Office’s data request to Apple, which is relevant to this current action.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2C.    Judge Scott Corley, presiding over the federal Twitch matter in the Northern District</w:t>
      </w:r>
    </w:p>
    <w:p>
      <w:pPr>
        <w:jc w:val="left"/>
      </w:pPr>
      <w:r>
        <w:rPr>
          <w:sz w:val="24"/>
        </w:rPr>
        <w:t>of California, dismissed the case with prejudice after ruling in Plaintiff’s favor on</w:t>
      </w:r>
    </w:p>
    <w:p>
      <w:pPr>
        <w:jc w:val="left"/>
      </w:pPr>
      <w:r>
        <w:rPr>
          <w:sz w:val="24"/>
        </w:rPr>
        <w:t>the Section 230 claim; the Plaintiff had implied that if the judge sided with Plaintiff,</w:t>
      </w:r>
    </w:p>
    <w:p>
      <w:pPr>
        <w:jc w:val="left"/>
      </w:pPr>
      <w:r>
        <w:rPr>
          <w:sz w:val="24"/>
        </w:rPr>
        <w:t>the judge would join Operation Zeus Thunder. This chain of events underscores</w:t>
      </w:r>
    </w:p>
    <w:p>
      <w:pPr>
        <w:jc w:val="left"/>
      </w:pPr>
      <w:r>
        <w:rPr>
          <w:sz w:val="24"/>
        </w:rPr>
        <w:t>Plaintiff’s broader legal battles and frames the context for the claims alleged here.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 Plaintiff emphasizes that such a request contained no information</w:t>
      </w:r>
    </w:p>
    <w:p>
      <w:pPr>
        <w:jc w:val="left"/>
      </w:pPr>
      <w:r>
        <w:rPr>
          <w:sz w:val="24"/>
        </w:rPr>
        <w:t>possibly related to any legitimate investigation or prosecution of an A&amp;B charge,</w:t>
      </w:r>
    </w:p>
    <w:p>
      <w:pPr>
        <w:jc w:val="left"/>
      </w:pPr>
      <w:r>
        <w:rPr>
          <w:sz w:val="24"/>
        </w:rPr>
        <w:t>supporting the proof by contraposition: had Defendant not labeled Plaintiff an</w:t>
      </w:r>
    </w:p>
    <w:p>
      <w:pPr>
        <w:jc w:val="left"/>
      </w:pPr>
      <w:r>
        <w:rPr>
          <w:sz w:val="24"/>
        </w:rPr>
        <w:t>“enemy combatant,” it would have had no motive to request such data irrelevant</w:t>
      </w:r>
    </w:p>
    <w:p>
      <w:pPr>
        <w:jc w:val="left"/>
      </w:pPr>
      <w:r>
        <w:rPr>
          <w:sz w:val="24"/>
        </w:rPr>
        <w:t>to an A&amp;B charge.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 The</w:t>
      </w:r>
    </w:p>
    <w:p>
      <w:pPr>
        <w:jc w:val="left"/>
      </w:pPr>
      <w:r>
        <w:rPr>
          <w:sz w:val="24"/>
        </w:rPr>
        <w:t>synergy of these events is integral to Plaintiff’s broader plan of Operation Zeus Thunder,</w:t>
      </w:r>
    </w:p>
    <w:p>
      <w:pPr>
        <w:jc w:val="left"/>
      </w:pPr>
      <w:r>
        <w:rPr>
          <w:sz w:val="24"/>
        </w:rPr>
        <w:t>wherein Plaintiff seeks international eradication of harmful gaming disorder, having</w:t>
      </w:r>
    </w:p>
    <w:p>
      <w:pPr>
        <w:jc w:val="left"/>
      </w:pPr>
      <w:r>
        <w:rPr>
          <w:sz w:val="24"/>
        </w:rPr>
        <w:t>already secured a legal victory against Twitch.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>
      <w:pPr>
        <w:jc w:val="left"/>
      </w:pPr>
      <w:r>
        <w:rPr>
          <w:sz w:val="24"/>
        </w:rPr>
        <w:t>(ICCPR). Plaintiff contends that after prevailing in the first ever Section 230 suit</w:t>
      </w:r>
    </w:p>
    <w:p>
      <w:pPr>
        <w:jc w:val="left"/>
      </w:pPr>
      <w:r>
        <w:rPr>
          <w:sz w:val="24"/>
        </w:rPr>
        <w:t>against Twitch, these retaliatory measures by Defendant are part of a broader pattern</w:t>
      </w:r>
    </w:p>
    <w:p>
      <w:pPr>
        <w:jc w:val="left"/>
      </w:pPr>
      <w:r>
        <w:rPr>
          <w:sz w:val="24"/>
        </w:rPr>
        <w:t>to undermine Operation Zeus Thunder. Plaintiff further underscores that under a</w:t>
      </w:r>
    </w:p>
    <w:p>
      <w:pPr>
        <w:jc w:val="left"/>
      </w:pPr>
      <w:r>
        <w:rPr>
          <w:sz w:val="24"/>
        </w:rPr>
        <w:t>standard analysis of relevance in Massachusetts subpoena practice—see Commonwealth</w:t>
      </w:r>
    </w:p>
    <w:p>
      <w:pPr>
        <w:jc w:val="left"/>
      </w:pPr>
      <w:r>
        <w:rPr>
          <w:sz w:val="24"/>
        </w:rPr>
        <w:t>v. Lampron, 441 Mass. 265, 269 (2004); Commonwealth v. Dwyer, 448 Mass. 122</w:t>
      </w:r>
    </w:p>
    <w:p>
      <w:pPr>
        <w:jc w:val="left"/>
      </w:pPr>
      <w:r>
        <w:rPr>
          <w:sz w:val="24"/>
        </w:rPr>
        <w:t>(2006); Commonwealth v. Lougee, 485 Mass. 70 (2020)—Defendant’s request lacked</w:t>
      </w:r>
    </w:p>
    <w:p>
      <w:pPr>
        <w:jc w:val="left"/>
      </w:pPr>
      <w:r>
        <w:rPr>
          <w:sz w:val="24"/>
        </w:rPr>
        <w:t>a legitimate connection to investigating or prosecuting the A&amp;B charge, indicating</w:t>
      </w:r>
    </w:p>
    <w:p>
      <w:pPr>
        <w:jc w:val="left"/>
      </w:pPr>
      <w:r>
        <w:rPr>
          <w:sz w:val="24"/>
        </w:rPr>
        <w:t>by contraposition that Defendant viewed Plaintiff as an “enemy combatant,” not an</w:t>
      </w:r>
    </w:p>
    <w:p>
      <w:pPr>
        <w:jc w:val="left"/>
      </w:pPr>
      <w:r>
        <w:rPr>
          <w:sz w:val="24"/>
        </w:rPr>
        <w:t>ordinary criminal defendant or suspect.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7F.    Under Massachusetts law, a subpoena or summons for records must meet the</w:t>
      </w:r>
    </w:p>
    <w:p>
      <w:pPr>
        <w:jc w:val="left"/>
      </w:pPr>
      <w:r>
        <w:rPr>
          <w:sz w:val="24"/>
        </w:rPr>
        <w:t>requirements articulated in Commonwealth v. Lampron, 441 Mass. 265 (2004),</w:t>
      </w:r>
    </w:p>
    <w:p>
      <w:pPr>
        <w:jc w:val="left"/>
      </w:pPr>
      <w:r>
        <w:rPr>
          <w:sz w:val="24"/>
        </w:rPr>
        <w:t>which demands a “substantial showing that the documents sought are relevant to the</w:t>
      </w:r>
    </w:p>
    <w:p>
      <w:pPr>
        <w:jc w:val="left"/>
      </w:pPr>
      <w:r>
        <w:rPr>
          <w:sz w:val="24"/>
        </w:rPr>
        <w:t>offenses charged or defense thereof.” Similarly, Commonwealth v. Dwyer, 448 Mass.</w:t>
      </w:r>
    </w:p>
    <w:p>
      <w:pPr>
        <w:jc w:val="left"/>
      </w:pPr>
      <w:r>
        <w:rPr>
          <w:sz w:val="24"/>
        </w:rPr>
        <w:t>122, 127 (2006), and Commonwealth v. Lougee, 485 Mass. 70 (2020), clarify the</w:t>
      </w:r>
    </w:p>
    <w:p>
      <w:pPr>
        <w:jc w:val="left"/>
      </w:pPr>
      <w:r>
        <w:rPr>
          <w:sz w:val="24"/>
        </w:rPr>
        <w:t>procedures for obtaining third-party records to avoid fishing expeditions. Plaintiff</w:t>
      </w:r>
    </w:p>
    <w:p>
      <w:pPr>
        <w:jc w:val="left"/>
      </w:pPr>
      <w:r>
        <w:rPr>
          <w:sz w:val="24"/>
        </w:rPr>
        <w:t>alleges that Defendant’s data request flouted these precedents: there was no plausible</w:t>
      </w:r>
    </w:p>
    <w:p>
      <w:pPr>
        <w:jc w:val="left"/>
      </w:pPr>
      <w:r>
        <w:rPr>
          <w:sz w:val="24"/>
        </w:rPr>
        <w:t>connection to the A&amp;B charge, thereby logically demonstrating that Defendant’s</w:t>
      </w:r>
    </w:p>
    <w:p>
      <w:pPr>
        <w:jc w:val="left"/>
      </w:pPr>
      <w:r>
        <w:rPr>
          <w:sz w:val="24"/>
        </w:rPr>
        <w:t>motivation derived from treating Plaintiff as an “enemy combatant” rather than</w:t>
      </w:r>
    </w:p>
    <w:p>
      <w:pPr>
        <w:jc w:val="left"/>
      </w:pPr>
      <w:r>
        <w:rPr>
          <w:sz w:val="24"/>
        </w:rPr>
        <w:t>following standard criminal investigation procedure.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7G.    In Middlesex County, local courts have routinely applied Lampron and Dwyer to ensure</w:t>
      </w:r>
    </w:p>
    <w:p>
      <w:pPr>
        <w:jc w:val="left"/>
      </w:pPr>
      <w:r>
        <w:rPr>
          <w:sz w:val="24"/>
        </w:rPr>
        <w:t>that subpoenas are not used as fishing expeditions. See, e.g., Commonwealth v. Ortiz,</w:t>
      </w:r>
    </w:p>
    <w:p>
      <w:pPr>
        <w:jc w:val="left"/>
      </w:pPr>
      <w:r>
        <w:rPr>
          <w:sz w:val="24"/>
        </w:rPr>
        <w:t>Middlesex Superior Court, No. 1881CR00567 (2020); Commonwealth v. Washington,</w:t>
      </w:r>
    </w:p>
    <w:p>
      <w:pPr>
        <w:jc w:val="left"/>
      </w:pPr>
      <w:r>
        <w:rPr>
          <w:sz w:val="24"/>
        </w:rPr>
        <w:t>Middlesex Superior Court, No. 1581CR0465 (2016). Requests for Apple or other</w:t>
      </w:r>
    </w:p>
    <w:p>
      <w:pPr>
        <w:jc w:val="left"/>
      </w:pPr>
      <w:r>
        <w:rPr>
          <w:sz w:val="24"/>
        </w:rPr>
        <w:t>digital data have likewise been scrutinized for relevance and specificity. See, e.g.,</w:t>
      </w:r>
    </w:p>
    <w:p>
      <w:pPr>
        <w:jc w:val="left"/>
      </w:pPr>
      <w:r>
        <w:rPr>
          <w:sz w:val="24"/>
        </w:rPr>
        <w:t>Commonwealth v. Augustine, 467 Mass. 230 (2014) (requiring heightened scrutiny for</w:t>
      </w:r>
    </w:p>
    <w:p>
      <w:pPr>
        <w:jc w:val="left"/>
      </w:pPr>
      <w:r>
        <w:rPr>
          <w:sz w:val="24"/>
        </w:rPr>
        <w:t>cell-site location info); Commonwealth v. Fulgiam, 477 Mass. 20 (2017) (emphasizing</w:t>
      </w:r>
    </w:p>
    <w:p>
      <w:pPr>
        <w:jc w:val="left"/>
      </w:pPr>
      <w:r>
        <w:rPr>
          <w:sz w:val="24"/>
        </w:rPr>
        <w:t>constitutional safeguards in accessing digital information). In addition, Massachusetts</w:t>
      </w:r>
    </w:p>
    <w:p>
      <w:pPr>
        <w:jc w:val="left"/>
      </w:pPr>
      <w:r>
        <w:rPr>
          <w:sz w:val="24"/>
        </w:rPr>
        <w:t>courts have recognized rigorous standards for iCloud data requests in cases involving</w:t>
      </w:r>
    </w:p>
    <w:p>
      <w:pPr>
        <w:jc w:val="left"/>
      </w:pPr>
      <w:r>
        <w:rPr>
          <w:sz w:val="24"/>
        </w:rPr>
        <w:t>Apple. See, e.g., Commonwealth v. Delgado-Rivera, 487 Mass. 551 (2021) (discussing</w:t>
      </w:r>
    </w:p>
    <w:p>
      <w:pPr>
        <w:jc w:val="left"/>
      </w:pPr>
      <w:r>
        <w:rPr>
          <w:sz w:val="24"/>
        </w:rPr>
        <w:t>privacy protections for digital data). Plaintiff contends that the Middlesex District</w:t>
      </w:r>
    </w:p>
    <w:p>
      <w:pPr>
        <w:jc w:val="left"/>
      </w:pPr>
      <w:r>
        <w:rPr>
          <w:sz w:val="24"/>
        </w:rPr>
        <w:t>Attorney’s Office, by ignoring these precedents, further proves the contraposition</w:t>
      </w:r>
    </w:p>
    <w:p>
      <w:pPr>
        <w:jc w:val="left"/>
      </w:pPr>
      <w:r>
        <w:rPr>
          <w:sz w:val="24"/>
        </w:rPr>
        <w:t>argument: had Defendant not deemed Plaintiff an “enemy combatant,” it would not</w:t>
      </w:r>
    </w:p>
    <w:p>
      <w:pPr>
        <w:jc w:val="left"/>
      </w:pPr>
      <w:r>
        <w:rPr>
          <w:sz w:val="24"/>
        </w:rPr>
        <w:t>have sought irrelevant data outside the narrow scope of prosecuting any alleged</w:t>
      </w:r>
    </w:p>
    <w:p>
      <w:pPr>
        <w:jc w:val="left"/>
      </w:pPr>
      <w:r>
        <w:rPr>
          <w:sz w:val="24"/>
        </w:rPr>
        <w:t>A&amp;B offense.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reasoning, as well as cases</w:t>
      </w:r>
    </w:p>
    <w:p>
      <w:pPr>
        <w:jc w:val="left"/>
      </w:pPr>
      <w:r>
        <w:rPr>
          <w:sz w:val="24"/>
        </w:rPr>
        <w:t>such as Commonwealth v. Fulgiam, 477 Mass. 20 (2017), which emphasize</w:t>
      </w:r>
    </w:p>
    <w:p>
      <w:pPr>
        <w:jc w:val="left"/>
      </w:pPr>
      <w:r>
        <w:rPr>
          <w:sz w:val="24"/>
        </w:rPr>
        <w:t>constitutional safeguards for accessing electronic information.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9F.    By contraposition, if Defendant truly sought data relevant to prosecuting an A&amp;B</w:t>
      </w:r>
    </w:p>
    <w:p>
      <w:pPr>
        <w:jc w:val="left"/>
      </w:pPr>
      <w:r>
        <w:rPr>
          <w:sz w:val="24"/>
        </w:rPr>
        <w:t>charge, it would have followed the guidance in Lampron, Dwyer, Lougee, Augustine,</w:t>
      </w:r>
    </w:p>
    <w:p>
      <w:pPr>
        <w:jc w:val="left"/>
      </w:pPr>
      <w:r>
        <w:rPr>
          <w:sz w:val="24"/>
        </w:rPr>
        <w:t>Fulgiam, and Delgado-Rivera to demonstrate relevance. Its failure to do so powerfully</w:t>
      </w:r>
    </w:p>
    <w:p>
      <w:pPr>
        <w:jc w:val="left"/>
      </w:pPr>
      <w:r>
        <w:rPr>
          <w:sz w:val="24"/>
        </w:rPr>
        <w:t>suggests that the real purpose was to target Plaintiff as if Plaintiff were an “enemy</w:t>
      </w:r>
    </w:p>
    <w:p>
      <w:pPr>
        <w:jc w:val="left"/>
      </w:pPr>
      <w:r>
        <w:rPr>
          <w:sz w:val="24"/>
        </w:rPr>
        <w:t>combatant,” consistent with Plaintiff’s allegations.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 Plaintiff further maintains that the need for</w:t>
      </w:r>
    </w:p>
    <w:p>
      <w:pPr>
        <w:jc w:val="left"/>
      </w:pPr>
      <w:r>
        <w:rPr>
          <w:sz w:val="24"/>
        </w:rPr>
        <w:t>such self-defense measures is heightened by ongoing legal threats, especially in the</w:t>
      </w:r>
    </w:p>
    <w:p>
      <w:pPr>
        <w:jc w:val="left"/>
      </w:pPr>
      <w:r>
        <w:rPr>
          <w:sz w:val="24"/>
        </w:rPr>
        <w:t>wake of Plaintiff’s success in the Section 230 lawsuit against Twitch.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12C.   By way of contraposition again, if the DA did not consider Plaintiff an enemy combatant,</w:t>
      </w:r>
    </w:p>
    <w:p>
      <w:pPr>
        <w:jc w:val="left"/>
      </w:pPr>
      <w:r>
        <w:rPr>
          <w:sz w:val="24"/>
        </w:rPr>
        <w:t>it would not have endeavored to subpoena data lacking any direct nexus to investigating</w:t>
      </w:r>
    </w:p>
    <w:p>
      <w:pPr>
        <w:jc w:val="left"/>
      </w:pPr>
      <w:r>
        <w:rPr>
          <w:sz w:val="24"/>
        </w:rPr>
        <w:t>or prosecuting an A&amp;B charge under Massachusetts law. See Commonwealth v. Dwyer,</w:t>
      </w:r>
    </w:p>
    <w:p>
      <w:pPr>
        <w:jc w:val="left"/>
      </w:pPr>
      <w:r>
        <w:rPr>
          <w:sz w:val="24"/>
        </w:rPr>
        <w:t>448 Mass. 122, 127 (2006); Commonwealth v. Lougee, 485 Mass. 70 (2020);</w:t>
      </w:r>
    </w:p>
    <w:p>
      <w:pPr>
        <w:jc w:val="left"/>
      </w:pPr>
      <w:r>
        <w:rPr>
          <w:sz w:val="24"/>
        </w:rPr>
        <w:t>Commonwealth v. Augustine, 467 Mass. 230 (2014); Commonwealth v. Delgado-Rivera,</w:t>
      </w:r>
    </w:p>
    <w:p>
      <w:pPr>
        <w:jc w:val="left"/>
      </w:pPr>
      <w:r>
        <w:rPr>
          <w:sz w:val="24"/>
        </w:rPr>
        <w:t>487 Mass. 551 (2021). These authorities explicitly caution against overbroad data</w:t>
      </w:r>
    </w:p>
    <w:p>
      <w:pPr>
        <w:jc w:val="left"/>
      </w:pPr>
      <w:r>
        <w:rPr>
          <w:sz w:val="24"/>
        </w:rPr>
        <w:t>demands. Middlesex County courts have similarly applied these principles in cases</w:t>
      </w:r>
    </w:p>
    <w:p>
      <w:pPr>
        <w:jc w:val="left"/>
      </w:pPr>
      <w:r>
        <w:rPr>
          <w:sz w:val="24"/>
        </w:rPr>
        <w:t>regarding Apple iCloud information. See Commonwealth v. Washington, No. 1581CR0465</w:t>
      </w:r>
    </w:p>
    <w:p>
      <w:pPr>
        <w:jc w:val="left"/>
      </w:pPr>
      <w:r>
        <w:rPr>
          <w:sz w:val="24"/>
        </w:rPr>
        <w:t>(2016) (Middlesex Superior Court). Defendant’s deviation from these established norms</w:t>
      </w:r>
    </w:p>
    <w:p>
      <w:pPr>
        <w:jc w:val="left"/>
      </w:pPr>
      <w:r>
        <w:rPr>
          <w:sz w:val="24"/>
        </w:rPr>
        <w:t>bolsters Plaintiff’s argument that it was motivated by an “enemy combatant” mentality</w:t>
      </w:r>
    </w:p>
    <w:p>
      <w:pPr>
        <w:jc w:val="left"/>
      </w:pPr>
      <w:r>
        <w:rPr>
          <w:sz w:val="24"/>
        </w:rPr>
        <w:t>rather than a proper law-enforcement purpose.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>
      <w:pPr>
        <w:jc w:val="left"/>
      </w:pPr>
      <w:r>
        <w:rPr>
          <w:sz w:val="24"/>
        </w:rPr>
        <w:t>Because it lacked any legitimate nexus to the A&amp;B charge, the request stands as</w:t>
      </w:r>
    </w:p>
    <w:p>
      <w:pPr>
        <w:jc w:val="left"/>
      </w:pPr>
      <w:r>
        <w:rPr>
          <w:sz w:val="24"/>
        </w:rPr>
        <w:t>further circumstantial proof of Plaintiff’s claim that Defendant viewed Plaintiff as</w:t>
      </w:r>
    </w:p>
    <w:p>
      <w:pPr>
        <w:jc w:val="left"/>
      </w:pPr>
      <w:r>
        <w:rPr>
          <w:sz w:val="24"/>
        </w:rPr>
        <w:t>an “enemy combatant,” consistent with the contraposition argument repeated herein.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 | 781-999-4101</w:t>
      </w:r>
    </w:p>
    <w:p>
      <w:pPr>
        <w:jc w:val="left"/>
      </w:pPr>
      <w:r>
        <w:rPr>
          <w:sz w:val="24"/>
        </w:rPr>
        <w:t>bo@shang.software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