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E1A2B" w:val="clear"/>
          </w:tcPr>
          <w:p>
            <w:pPr>
              <w:spacing w:before="2400"/>
            </w:pPr>
          </w:p>
          <w:p>
            <w:pPr>
              <w:pBdr>
                <w:bottom w:val="single" w:color="4FC3F7" w:sz="6" w:space="8"/>
              </w:pBdr>
              <w:spacing w:after="500"/>
              <w:ind w:left="1200" w:right="800"/>
            </w:pPr>
            <w:r>
              <w:rPr>
                <w:rFonts w:ascii="Calibri"/>
                <w:color w:val="4FC3F7"/>
                <w:spacing w:val="40"/>
                <w:sz w:val="18"/>
                <w:szCs w:val="18"/>
              </w:rPr>
              <w:t xml:space="preserve">D A T A S H A R E   —   R E V I S I O N</w:t>
            </w:r>
          </w:p>
          <w:p>
            <w:pPr>
              <w:spacing w:after="100" w:line="800" w:lineRule="atLeast"/>
              <w:ind w:left="1200"/>
            </w:pPr>
            <w:r>
              <w:rPr>
                <w:rFonts w:ascii="Arial"/>
                <w:b/>
                <w:bCs/>
                <w:color w:val="FFFFFF"/>
                <w:sz w:val="72"/>
                <w:szCs w:val="72"/>
              </w:rPr>
              <w:t xml:space="preserve">Documentation Technique</w:t>
            </w:r>
          </w:p>
          <w:p>
            <w:pPr>
              <w:spacing w:after="300" w:line="600" w:lineRule="atLeast"/>
              <w:ind w:left="1200"/>
            </w:pPr>
            <w:r>
              <w:rPr>
                <w:rFonts w:ascii="Arial"/>
                <w:b/>
                <w:bCs/>
                <w:color w:val="FFFFFF"/>
                <w:sz w:val="44"/>
                <w:szCs w:val="44"/>
              </w:rPr>
              <w:t xml:space="preserve">Plateforme de partage de fichiers</w:t>
            </w:r>
          </w:p>
          <w:p>
            <w:pPr>
              <w:spacing w:after="800"/>
              <w:ind w:left="1200"/>
            </w:pPr>
            <w:r>
              <w:rPr>
                <w:rFonts w:ascii="Arial"/>
                <w:color w:val="C5D5E5"/>
                <w:sz w:val="28"/>
                <w:szCs w:val="28"/>
              </w:rPr>
              <w:t xml:space="preserve">Révision après soutenance — Branche solution1</w:t>
            </w:r>
          </w:p>
          <w:p>
            <w:pPr>
              <w:pBdr>
                <w:left w:val="single" w:color="4FC3F7" w:sz="8" w:space="12"/>
              </w:pBdr>
              <w:spacing w:after="80"/>
              <w:ind w:left="1400"/>
            </w:pPr>
            <w:r>
              <w:rPr>
                <w:rFonts w:ascii="Arial"/>
                <w:color w:val="9BB0C7"/>
                <w:sz w:val="24"/>
                <w:szCs w:val="24"/>
              </w:rPr>
              <w:t xml:space="preserve">Auteur    :  Yapo Aime Claude Ghislain Adon</w:t>
            </w:r>
          </w:p>
          <w:p>
            <w:pPr>
              <w:pBdr>
                <w:left w:val="single" w:color="4FC3F7" w:sz="8" w:space="12"/>
              </w:pBdr>
              <w:spacing w:after="80"/>
              <w:ind w:left="1400"/>
            </w:pPr>
            <w:r>
              <w:rPr>
                <w:rFonts w:ascii="Arial"/>
                <w:color w:val="9BB0C7"/>
                <w:sz w:val="24"/>
                <w:szCs w:val="24"/>
              </w:rPr>
              <w:t xml:space="preserve">Projet    :  OPC P3 — Pilotez le développement d'une solution informatique</w:t>
            </w:r>
          </w:p>
          <w:p>
            <w:pPr>
              <w:pBdr>
                <w:left w:val="single" w:color="4FC3F7" w:sz="8" w:space="12"/>
              </w:pBdr>
              <w:spacing w:after="80"/>
              <w:ind w:left="1400"/>
            </w:pPr>
            <w:r>
              <w:rPr>
                <w:rFonts w:ascii="Arial"/>
                <w:color w:val="9BB0C7"/>
                <w:sz w:val="24"/>
                <w:szCs w:val="24"/>
              </w:rPr>
              <w:t xml:space="preserve">Branche   :  solution1 (créée depuis solution)</w:t>
            </w:r>
          </w:p>
          <w:p>
            <w:pPr>
              <w:pBdr>
                <w:left w:val="single" w:color="4FC3F7" w:sz="8" w:space="12"/>
              </w:pBdr>
              <w:spacing w:after="80"/>
              <w:ind w:left="1400"/>
            </w:pPr>
            <w:r>
              <w:rPr>
                <w:rFonts w:ascii="Arial"/>
                <w:color w:val="9BB0C7"/>
                <w:sz w:val="24"/>
                <w:szCs w:val="24"/>
              </w:rPr>
              <w:t xml:space="preserve">Date      :  Juin 2026</w:t>
            </w:r>
          </w:p>
          <w:p>
            <w:pPr>
              <w:pBdr>
                <w:left w:val="single" w:color="4FC3F7" w:sz="8" w:space="12"/>
              </w:pBdr>
              <w:spacing w:after="80"/>
              <w:ind w:left="1400"/>
            </w:pPr>
            <w:r>
              <w:rPr>
                <w:rFonts w:ascii="Arial"/>
                <w:color w:val="9BB0C7"/>
                <w:sz w:val="24"/>
                <w:szCs w:val="24"/>
              </w:rPr>
              <w:t xml:space="preserve">Stack     :  Spring Boot 4.0.6 / Java 21 / Angular 22 / PostgreSQL 16</w:t>
            </w:r>
          </w:p>
          <w:p>
            <w:pPr>
              <w:spacing w:before="3000"/>
            </w:pPr>
          </w:p>
          <w:p>
            <w:pPr>
              <w:pBdr>
                <w:top w:val="single" w:color="4FC3F7" w:sz="2" w:space="8"/>
              </w:pBdr>
              <w:spacing w:before="200"/>
              <w:ind w:left="1200" w:right="800"/>
            </w:pPr>
            <w:r>
              <w:rPr>
                <w:rFonts w:ascii="Arial"/>
                <w:color w:val="9BB0C7"/>
                <w:sz w:val="16"/>
                <w:szCs w:val="16"/>
              </w:rPr>
              <w:t xml:space="preserve">Expert DevOps — OpenClassrooms</w:t>
            </w:r>
            <w:r>
              <w:t xml:space="preserve">                                                                </w:t>
            </w:r>
            <w:r>
              <w:rPr>
                <w:rFonts w:ascii="Arial"/>
                <w:color w:val="9BB0C7"/>
                <w:sz w:val="16"/>
                <w:szCs w:val="16"/>
              </w:rPr>
              <w:t xml:space="preserve">Document de révision</w:t>
            </w:r>
          </w:p>
        </w:tc>
      </w:tr>
    </w:tbl>
    <w:p>
      <w:pPr>
        <w:sectPr>
          <w:pgSz w:w="11906" w:h="16838" w:orient="portrait"/>
          <w:pgMar w:top="0" w:right="0" w:bottom="0" w:left="0" w:header="708" w:footer="708" w:gutter="0"/>
          <w:pgNumType/>
          <w:docGrid w:linePitch="360"/>
        </w:sectPr>
      </w:pPr>
    </w:p>
    <w:p>
      <w:pPr>
        <w:spacing w:after="360" w:before="240"/>
      </w:pPr>
      <w:r>
        <w:rPr>
          <w:rFonts w:ascii="Calibri"/>
          <w:b/>
          <w:bCs/>
          <w:color w:val="0E1A2B"/>
          <w:sz w:val="36"/>
          <w:szCs w:val="36"/>
        </w:rPr>
        <w:t xml:space="preserve">Table des matières</w:t>
      </w:r>
    </w:p>
    <w:sdt>
      <w:sdtPr>
        <w:alias w:val="Table des matière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1. Résumé exécutif</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Statut par compétence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Sécurité backend (compétence 7)</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Validation des fichiers côté backend</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2.1.1 Détection du type MIME par Apache Tika</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CORS restrictif</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Exception handler sécurisé</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2.4 Path traversal et code 201</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Tests (compétence 5)</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Couverture JaCoCo backend (seuil 70 %)</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Cas d'erreur et de sécurité au niveau des contrôleurs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Couverture Vitest frontend</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3.4 Scénario E2E Cypress réel</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3.5 Test de charge k6 exécuté</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3.6 Profil de test H2</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4. Cohérence documentation et code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4.1 SECURITY.md aligné sur l'implémentation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4.2 TESTING.md aligné sur les résultats réels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4.3 README.md corrigé</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5. API et livrables</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5.1 Spécification OpenAPI</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5.2 Script backup-db.sh</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6. Accessibilité et conformité</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6.1 Attributs ARIA</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6.2 Politique de confidentialité et RGPD</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7. Conclusion et prochaines étapes</w:t>
            </w:r>
            <w:r>
              <w:tab/>
            </w:r>
            <w:r>
              <w:fldChar w:fldCharType="begin"/>
            </w:r>
            <w:r>
              <w:instrText xml:space="preserve"> PAGEREF _Toc100025 \h </w:instrText>
            </w:r>
            <w:r>
              <w:fldChar w:fldCharType="separate"/>
            </w:r>
            <w:r>
              <w:t>9</w:t>
            </w:r>
            <w:r>
              <w:fldChar w:fldCharType="end"/>
            </w:r>
          </w:hyperlink>
        </w:p>
        <w:p>
          <w:r>
            <w:fldChar w:fldCharType="end"/>
          </w:r>
        </w:p>
      </w:sdtContent>
    </w:sdt>
    <w:p>
      <w:pPr>
        <w:spacing w:after="200" w:before="200"/>
      </w:pPr>
      <w:r>
        <w:rPr>
          <w:rFonts w:ascii="Calibri"/>
          <w:i/>
          <w:iCs/>
          <w:color w:val="5B6B7D"/>
          <w:sz w:val="18"/>
          <w:szCs w:val="18"/>
        </w:rPr>
        <w:t xml:space="preserve">Astuce : pour rafraîchir les numéros de page, faites un clic droit sur la table des matières puis « Mettre à jour les champs ».</w:t>
      </w:r>
    </w:p>
    <w:p>
      <w:r>
        <w:br w:type="page"/>
      </w:r>
    </w:p>
    <w:p>
      <w:pPr>
        <w:sectPr>
          <w:pgSz w:w="11906" w:h="16838" w:orient="portrait"/>
          <w:pgMar w:top="1440" w:right="1417" w:bottom="1440" w:left="1701" w:header="708" w:footer="708" w:gutter="0"/>
          <w:pgNumType/>
          <w:docGrid w:linePitch="360"/>
        </w:sectPr>
      </w:pPr>
    </w:p>
    <w:p>
      <w:pPr>
        <w:pStyle w:val="Heading1"/>
        <w:spacing w:after="240" w:before="480"/>
      </w:pPr>
      <w:bookmarkStart w:id="100000" w:name="_Toc100000"/>
      <w:r>
        <w:rPr>
          <w:rFonts w:ascii="Calibri" w:eastAsia="Calibri"/>
          <w:b/>
          <w:bCs/>
          <w:color w:val="0E1A2B"/>
          <w:sz w:val="36"/>
          <w:szCs w:val="36"/>
        </w:rPr>
        <w:t xml:space="preserve">1. Résumé exécutif</w:t>
      </w:r>
      <w:bookmarkEnd w:id="100000"/>
    </w:p>
    <w:p>
      <w:pPr>
        <w:spacing w:after="120" w:before="0" w:line="312"/>
        <w:ind w:firstLine="0"/>
        <w:jc w:val="both"/>
      </w:pPr>
      <w:r>
        <w:rPr>
          <w:rFonts w:ascii="Calibri" w:eastAsia="Calibri"/>
          <w:b w:val="false"/>
          <w:bCs w:val="false"/>
          <w:i w:val="false"/>
          <w:iCs w:val="false"/>
          <w:color w:val="1C2A3D"/>
          <w:sz w:val="22"/>
          <w:szCs w:val="22"/>
        </w:rPr>
        <w:t xml:space="preserve">Ce document présente les corrections apportées à la plateforme DataShare à la suite de la soutenance du Projet 3 du parcours Expert DevOps (OpenClassrooms). L'évaluation initiale pointait sept axes d'amélioration sur les compétences 5 (tests) et 7 (sécurité backend) non validées. Toutes les corrections ont été implémentées dans la branche solution1 du dépôt GitHub, créée à partir de la branche solution.</w:t>
      </w:r>
    </w:p>
    <w:p>
      <w:pPr>
        <w:spacing w:after="120" w:before="0" w:line="312"/>
        <w:ind w:firstLine="0"/>
        <w:jc w:val="both"/>
      </w:pPr>
      <w:r>
        <w:rPr>
          <w:rFonts w:ascii="Calibri" w:eastAsia="Calibri"/>
          <w:b w:val="false"/>
          <w:bCs w:val="false"/>
          <w:i w:val="false"/>
          <w:iCs w:val="false"/>
          <w:color w:val="1C2A3D"/>
          <w:sz w:val="22"/>
          <w:szCs w:val="22"/>
        </w:rPr>
        <w:t xml:space="preserve">Le périmètre des corrections couvre cinq domaines : (1) la sécurité backend avec l'introduction d'une validation stricte des fichiers par liste blanche et détection du type MIME réel par Apache Tika, le resserrement du CORS et la neutralisation de la fuite d'informations dans les réponses d'erreur ; (2) la stratégie de tests avec la mise en place de JaCoCo (seuil bloquant 70 %), l'ajout de cas d'erreur et de sécurité au niveau des contrôleurs, l'implémentation d'un scénario E2E Cypress réel et l'exécution d'un test de charge k6 contre un backend démarré localement ; (3) la cohérence documentation/code ; (4) les livrables API et scripts avec une spécification OpenAPI et le script backup-db.sh ; (5) l'accessibilité avec les attributs ARIA.</w:t>
      </w:r>
    </w:p>
    <w:p>
      <w:pPr>
        <w:pStyle w:val="Heading2"/>
        <w:spacing w:after="180" w:before="360"/>
      </w:pPr>
      <w:bookmarkStart w:id="100001" w:name="_Toc100001"/>
      <w:r>
        <w:rPr>
          <w:rFonts w:ascii="Calibri" w:eastAsia="Calibri"/>
          <w:b/>
          <w:bCs/>
          <w:color w:val="0E1A2B"/>
          <w:sz w:val="28"/>
          <w:szCs w:val="28"/>
        </w:rPr>
        <w:t xml:space="preserve">1.1 Statut par compétence</w:t>
      </w:r>
      <w:bookmarkEnd w:id="100001"/>
    </w:p>
    <w:p>
      <w:pPr>
        <w:spacing w:after="120" w:before="0" w:line="312"/>
        <w:ind w:firstLine="0"/>
        <w:jc w:val="both"/>
      </w:pPr>
      <w:r>
        <w:rPr>
          <w:rFonts w:ascii="Calibri" w:eastAsia="Calibri"/>
          <w:b w:val="false"/>
          <w:bCs w:val="false"/>
          <w:i w:val="false"/>
          <w:iCs w:val="false"/>
          <w:color w:val="1C2A3D"/>
          <w:sz w:val="22"/>
          <w:szCs w:val="22"/>
        </w:rPr>
        <w:t xml:space="preserve">Le tableau ci-dessous synthétise l'avancement des corrections par rapport aux axes d'amélioration identifiés par le mentor. Chaque ligne fait référence à la section détaillée correspondante de la présente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dxa" w:w="22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Compétence / Axe</w:t>
            </w:r>
          </w:p>
        </w:tc>
        <w:tc>
          <w:tcPr>
            <w:tcW w:type="dxa" w:w="18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Statut initial</w:t>
            </w:r>
          </w:p>
        </w:tc>
        <w:tc>
          <w:tcPr>
            <w:tcW w:type="dxa" w:w="4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Correction apportée</w:t>
            </w:r>
          </w:p>
        </w:tc>
        <w:tc>
          <w:tcPr>
            <w:tcW w:type="dxa" w:w="10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Section</w:t>
            </w:r>
          </w:p>
        </w:tc>
      </w:tr>
      <w:tr>
        <w:trPr>
          <w:cantSplit/>
          <w:tblHeader w:val="false"/>
        </w:trPr>
        <w:tc>
          <w:tcPr>
            <w:tcW w:type="dxa" w:w="2200"/>
            <w:tcMar>
              <w:top w:type="dxa" w:w="80"/>
              <w:left w:type="dxa" w:w="120"/>
              <w:bottom w:type="dxa" w:w="80"/>
              <w:right w:type="dxa" w:w="120"/>
            </w:tcMar>
          </w:tcPr>
          <w:p>
            <w:pPr>
              <w:spacing w:line="280"/>
              <w:jc w:val="left"/>
            </w:pPr>
            <w:r>
              <w:rPr>
                <w:rFonts w:ascii="Calibri" w:eastAsia="Calibri"/>
                <w:color w:val="1C2A3D"/>
                <w:sz w:val="20"/>
                <w:szCs w:val="20"/>
              </w:rPr>
              <w:t xml:space="preserve">5 — Tests</w:t>
            </w:r>
          </w:p>
        </w:tc>
        <w:tc>
          <w:tcPr>
            <w:tcW w:type="dxa" w:w="1800"/>
            <w:tcMar>
              <w:top w:type="dxa" w:w="80"/>
              <w:left w:type="dxa" w:w="120"/>
              <w:bottom w:type="dxa" w:w="80"/>
              <w:right w:type="dxa" w:w="120"/>
            </w:tcMar>
          </w:tcPr>
          <w:p>
            <w:pPr>
              <w:spacing w:line="280"/>
              <w:jc w:val="left"/>
            </w:pPr>
            <w:r>
              <w:rPr>
                <w:rFonts w:ascii="Calibri" w:eastAsia="Calibri"/>
                <w:color w:val="1C2A3D"/>
                <w:sz w:val="20"/>
                <w:szCs w:val="20"/>
              </w:rPr>
              <w:t xml:space="preserve">Non validée</w:t>
            </w:r>
          </w:p>
        </w:tc>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JaCoCo 70 %, cas erreur/sécurité, E2E Cypress, k6 exécuté</w:t>
            </w:r>
          </w:p>
        </w:tc>
        <w:tc>
          <w:tcPr>
            <w:tcW w:type="dxa" w:w="1000"/>
            <w:tcMar>
              <w:top w:type="dxa" w:w="80"/>
              <w:left w:type="dxa" w:w="120"/>
              <w:bottom w:type="dxa" w:w="80"/>
              <w:right w:type="dxa" w:w="120"/>
            </w:tcMar>
          </w:tcPr>
          <w:p>
            <w:pPr>
              <w:spacing w:line="280"/>
              <w:jc w:val="left"/>
            </w:pPr>
            <w:r>
              <w:rPr>
                <w:rFonts w:ascii="Calibri" w:eastAsia="Calibri"/>
                <w:color w:val="1C2A3D"/>
                <w:sz w:val="20"/>
                <w:szCs w:val="20"/>
              </w:rPr>
              <w:t xml:space="preserve">§3</w:t>
            </w:r>
          </w:p>
        </w:tc>
      </w:tr>
      <w:tr>
        <w:trPr>
          <w:cantSplit/>
          <w:tblHeader w:val="false"/>
        </w:trPr>
        <w:tc>
          <w:tcPr>
            <w:tcW w:type="dxa" w:w="22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7 — Sécurité backend</w:t>
            </w:r>
          </w:p>
        </w:tc>
        <w:tc>
          <w:tcPr>
            <w:tcW w:type="dxa" w:w="18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Non validée</w:t>
            </w:r>
          </w:p>
        </w:tc>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Validation fichiers backend (Tika), CORS restrictif, exception handler</w:t>
            </w:r>
          </w:p>
        </w:tc>
        <w:tc>
          <w:tcPr>
            <w:tcW w:type="dxa" w:w="1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§2</w:t>
            </w:r>
          </w:p>
        </w:tc>
      </w:tr>
      <w:tr>
        <w:trPr>
          <w:cantSplit/>
          <w:tblHeader w:val="false"/>
        </w:trPr>
        <w:tc>
          <w:tcPr>
            <w:tcW w:type="dxa" w:w="2200"/>
            <w:tcMar>
              <w:top w:type="dxa" w:w="80"/>
              <w:left w:type="dxa" w:w="120"/>
              <w:bottom w:type="dxa" w:w="80"/>
              <w:right w:type="dxa" w:w="120"/>
            </w:tcMar>
          </w:tcPr>
          <w:p>
            <w:pPr>
              <w:spacing w:line="280"/>
              <w:jc w:val="left"/>
            </w:pPr>
            <w:r>
              <w:rPr>
                <w:rFonts w:ascii="Calibri" w:eastAsia="Calibri"/>
                <w:color w:val="1C2A3D"/>
                <w:sz w:val="20"/>
                <w:szCs w:val="20"/>
              </w:rPr>
              <w:t xml:space="preserve">Cohérence doc/code</w:t>
            </w:r>
          </w:p>
        </w:tc>
        <w:tc>
          <w:tcPr>
            <w:tcW w:type="dxa" w:w="1800"/>
            <w:tcMar>
              <w:top w:type="dxa" w:w="80"/>
              <w:left w:type="dxa" w:w="120"/>
              <w:bottom w:type="dxa" w:w="80"/>
              <w:right w:type="dxa" w:w="120"/>
            </w:tcMar>
          </w:tcPr>
          <w:p>
            <w:pPr>
              <w:spacing w:line="280"/>
              <w:jc w:val="left"/>
            </w:pPr>
            <w:r>
              <w:rPr>
                <w:rFonts w:ascii="Calibri" w:eastAsia="Calibri"/>
                <w:color w:val="1C2A3D"/>
                <w:sz w:val="20"/>
                <w:szCs w:val="20"/>
              </w:rPr>
              <w:t xml:space="preserve">Écart</w:t>
            </w:r>
          </w:p>
        </w:tc>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SECURITY.md, TESTING.md, README alignés sur le code</w:t>
            </w:r>
          </w:p>
        </w:tc>
        <w:tc>
          <w:tcPr>
            <w:tcW w:type="dxa" w:w="1000"/>
            <w:tcMar>
              <w:top w:type="dxa" w:w="80"/>
              <w:left w:type="dxa" w:w="120"/>
              <w:bottom w:type="dxa" w:w="80"/>
              <w:right w:type="dxa" w:w="120"/>
            </w:tcMar>
          </w:tcPr>
          <w:p>
            <w:pPr>
              <w:spacing w:line="280"/>
              <w:jc w:val="left"/>
            </w:pPr>
            <w:r>
              <w:rPr>
                <w:rFonts w:ascii="Calibri" w:eastAsia="Calibri"/>
                <w:color w:val="1C2A3D"/>
                <w:sz w:val="20"/>
                <w:szCs w:val="20"/>
              </w:rPr>
              <w:t xml:space="preserve">§4</w:t>
            </w:r>
          </w:p>
        </w:tc>
      </w:tr>
      <w:tr>
        <w:trPr>
          <w:cantSplit/>
          <w:tblHeader w:val="false"/>
        </w:trPr>
        <w:tc>
          <w:tcPr>
            <w:tcW w:type="dxa" w:w="22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API / livrables</w:t>
            </w:r>
          </w:p>
        </w:tc>
        <w:tc>
          <w:tcPr>
            <w:tcW w:type="dxa" w:w="18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Manquants</w:t>
            </w:r>
          </w:p>
        </w:tc>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Spécification OpenAPI, backup-db.sh, liens README corrigés</w:t>
            </w:r>
          </w:p>
        </w:tc>
        <w:tc>
          <w:tcPr>
            <w:tcW w:type="dxa" w:w="1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§5</w:t>
            </w:r>
          </w:p>
        </w:tc>
      </w:tr>
      <w:tr>
        <w:trPr>
          <w:cantSplit/>
          <w:tblHeader w:val="false"/>
        </w:trPr>
        <w:tc>
          <w:tcPr>
            <w:tcW w:type="dxa" w:w="2200"/>
            <w:tcMar>
              <w:top w:type="dxa" w:w="80"/>
              <w:left w:type="dxa" w:w="120"/>
              <w:bottom w:type="dxa" w:w="80"/>
              <w:right w:type="dxa" w:w="120"/>
            </w:tcMar>
          </w:tcPr>
          <w:p>
            <w:pPr>
              <w:spacing w:line="280"/>
              <w:jc w:val="left"/>
            </w:pPr>
            <w:r>
              <w:rPr>
                <w:rFonts w:ascii="Calibri" w:eastAsia="Calibri"/>
                <w:color w:val="1C2A3D"/>
                <w:sz w:val="20"/>
                <w:szCs w:val="20"/>
              </w:rPr>
              <w:t xml:space="preserve">Accessibilité</w:t>
            </w:r>
          </w:p>
        </w:tc>
        <w:tc>
          <w:tcPr>
            <w:tcW w:type="dxa" w:w="1800"/>
            <w:tcMar>
              <w:top w:type="dxa" w:w="80"/>
              <w:left w:type="dxa" w:w="120"/>
              <w:bottom w:type="dxa" w:w="80"/>
              <w:right w:type="dxa" w:w="120"/>
            </w:tcMar>
          </w:tcPr>
          <w:p>
            <w:pPr>
              <w:spacing w:line="280"/>
              <w:jc w:val="left"/>
            </w:pPr>
            <w:r>
              <w:rPr>
                <w:rFonts w:ascii="Calibri" w:eastAsia="Calibri"/>
                <w:color w:val="1C2A3D"/>
                <w:sz w:val="20"/>
                <w:szCs w:val="20"/>
              </w:rPr>
              <w:t xml:space="preserve">Manquante</w:t>
            </w:r>
          </w:p>
        </w:tc>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Attributs ARIA, textes alternatifs, politique RGPD</w:t>
            </w:r>
          </w:p>
        </w:tc>
        <w:tc>
          <w:tcPr>
            <w:tcW w:type="dxa" w:w="1000"/>
            <w:tcMar>
              <w:top w:type="dxa" w:w="80"/>
              <w:left w:type="dxa" w:w="120"/>
              <w:bottom w:type="dxa" w:w="80"/>
              <w:right w:type="dxa" w:w="120"/>
            </w:tcMar>
          </w:tcPr>
          <w:p>
            <w:pPr>
              <w:spacing w:line="280"/>
              <w:jc w:val="left"/>
            </w:pPr>
            <w:r>
              <w:rPr>
                <w:rFonts w:ascii="Calibri" w:eastAsia="Calibri"/>
                <w:color w:val="1C2A3D"/>
                <w:sz w:val="20"/>
                <w:szCs w:val="20"/>
              </w:rPr>
              <w:t xml:space="preserve">§6</w:t>
            </w:r>
          </w:p>
        </w:tc>
      </w:tr>
    </w:tbl>
    <w:p>
      <w:pPr>
        <w:spacing w:after="120" w:before="240" w:line="312"/>
        <w:ind w:firstLine="0"/>
        <w:jc w:val="both"/>
      </w:pPr>
      <w:r>
        <w:rPr>
          <w:rFonts w:ascii="Calibri" w:eastAsia="Calibri"/>
          <w:b w:val="false"/>
          <w:bCs w:val="false"/>
          <w:i w:val="false"/>
          <w:iCs w:val="false"/>
          <w:color w:val="1C2A3D"/>
          <w:sz w:val="22"/>
          <w:szCs w:val="22"/>
        </w:rPr>
        <w:t xml:space="preserve">Les cinq autres compétences validées lors de la soutenance initiale (architecture en couches, JWT stateless, BCrypt, contrôle de propriété sur la suppression, streaming des téléchargements, historique git en commits conventionnels) ne sont pas impactées par ces corrections et restent pleinement validées.</w:t>
      </w:r>
    </w:p>
    <w:p>
      <w:pPr>
        <w:pStyle w:val="Heading1"/>
        <w:spacing w:after="240" w:before="480"/>
      </w:pPr>
      <w:bookmarkStart w:id="100002" w:name="_Toc100002"/>
      <w:r>
        <w:rPr>
          <w:rFonts w:ascii="Calibri" w:eastAsia="Calibri"/>
          <w:b/>
          <w:bCs/>
          <w:color w:val="0E1A2B"/>
          <w:sz w:val="36"/>
          <w:szCs w:val="36"/>
        </w:rPr>
        <w:t xml:space="preserve">2. Sécurité backend (compétence 7)</w:t>
      </w:r>
      <w:bookmarkEnd w:id="100002"/>
    </w:p>
    <w:p>
      <w:pPr>
        <w:pStyle w:val="Heading2"/>
        <w:spacing w:after="180" w:before="360"/>
      </w:pPr>
      <w:bookmarkStart w:id="100003" w:name="_Toc100003"/>
      <w:r>
        <w:rPr>
          <w:rFonts w:ascii="Calibri" w:eastAsia="Calibri"/>
          <w:b/>
          <w:bCs/>
          <w:color w:val="0E1A2B"/>
          <w:sz w:val="28"/>
          <w:szCs w:val="28"/>
        </w:rPr>
        <w:t xml:space="preserve">2.1 Validation des fichiers côté backend</w:t>
      </w:r>
      <w:bookmarkEnd w:id="100003"/>
    </w:p>
    <w:p>
      <w:pPr>
        <w:spacing w:after="120" w:before="0" w:line="312"/>
        <w:ind w:firstLine="0"/>
        <w:jc w:val="both"/>
      </w:pPr>
      <w:r>
        <w:rPr>
          <w:rFonts w:ascii="Calibri" w:eastAsia="Calibri"/>
          <w:b w:val="false"/>
          <w:bCs w:val="false"/>
          <w:i w:val="false"/>
          <w:iCs w:val="false"/>
          <w:color w:val="1C2A3D"/>
          <w:sz w:val="22"/>
          <w:szCs w:val="22"/>
        </w:rPr>
        <w:t xml:space="preserve">L'évaluation initiale soulignait que la validation des fichiers n'existait que dans le composant Angular UploadComponent et qu'un POST direct sur /api/files/upload avec un fichier .exe était accepté et stocké. La documentation (SECURITY.md) affirmait pourtant un contrôle « backend ET frontend », ce qui constituait une faille OWASP courante pour une plateforme de partage de fichiers.</w:t>
      </w:r>
    </w:p>
    <w:p>
      <w:pPr>
        <w:spacing w:after="120" w:before="0" w:line="312"/>
        <w:ind w:firstLine="0"/>
        <w:jc w:val="both"/>
      </w:pPr>
      <w:r>
        <w:rPr>
          <w:rFonts w:ascii="Calibri" w:eastAsia="Calibri"/>
          <w:b w:val="false"/>
          <w:bCs w:val="false"/>
          <w:i w:val="false"/>
          <w:iCs w:val="false"/>
          <w:color w:val="1C2A3D"/>
          <w:sz w:val="22"/>
          <w:szCs w:val="22"/>
        </w:rPr>
        <w:t xml:space="preserve">Pour corriger ce défaut, un nouveau service FileValidationService a été introduit dans le package com.datashare.backend.service. Il est appelé systématiquement par FileStorageService.storeFile AVANT toute écriture sur disque, ce qui garantit qu'aucun fichier rejeté n'est persisté physiquement sur le serveur. La validation repose sur trois piliers défensifs : la vérification de la taille (avec un plafond défensif à 1 Go en complément de la limite Spring multipart), une liste blanche stricte d'extensions autorisées, et la détection du type MIME réel par Apache Tika à partir du contenu binaire du fichier.</w:t>
      </w:r>
    </w:p>
    <w:p>
      <w:pPr>
        <w:spacing w:after="120" w:before="0" w:line="312"/>
        <w:ind w:firstLine="0"/>
        <w:jc w:val="both"/>
      </w:pPr>
      <w:r>
        <w:rPr>
          <w:rFonts w:ascii="Calibri" w:eastAsia="Calibri"/>
          <w:b w:val="false"/>
          <w:bCs w:val="false"/>
          <w:i w:val="false"/>
          <w:iCs w:val="false"/>
          <w:color w:val="1C2A3D"/>
          <w:sz w:val="22"/>
          <w:szCs w:val="22"/>
        </w:rPr>
        <w:t xml:space="preserve">La liste blanche couvre les documents (PDF, DOC(X), ODT, RTF, TXT, MD, CSV), les tableurs (XLS(X), ODS), les présentations (PPT(X), ODP), les images (PNG, JPG, GIF, WebP, BMP, SVG, TIFF), les formats audio/vidéo courants, les archives (ZIP, TAR, GZ, 7Z, RAR) et les fichiers de code/données non exécutables côté serveur (JSON, XML, YAML, HTML, CSS, Java, Python, JavaScript, TypeScript). Toute extension absente de cette liste est rejetée avec un code 400 Bad Request, ce qui bloque par construction les exécutables Windows (.exe, .bat, .cmd, .msi, .ps1, .vbs, .scr, .com), les scripts shell (.sh, .bash) et les archives Java exécutables (.jar, .war).</w:t>
      </w:r>
    </w:p>
    <w:p>
      <w:pPr>
        <w:pStyle w:val="Heading3"/>
        <w:spacing w:after="120" w:before="240"/>
      </w:pPr>
      <w:bookmarkStart w:id="100004" w:name="_Toc100004"/>
      <w:r>
        <w:rPr>
          <w:rFonts w:ascii="Calibri" w:eastAsia="Calibri"/>
          <w:b/>
          <w:bCs/>
          <w:color w:val="0E1A2B"/>
          <w:sz w:val="24"/>
          <w:szCs w:val="24"/>
        </w:rPr>
        <w:t xml:space="preserve">2.1.1 Détection du type MIME par Apache Tika</w:t>
      </w:r>
      <w:bookmarkEnd w:id="100004"/>
    </w:p>
    <w:p>
      <w:pPr>
        <w:spacing w:after="120" w:before="0" w:line="312"/>
        <w:ind w:firstLine="0"/>
        <w:jc w:val="both"/>
      </w:pPr>
      <w:r>
        <w:rPr>
          <w:rFonts w:ascii="Calibri" w:eastAsia="Calibri"/>
          <w:b w:val="false"/>
          <w:bCs w:val="false"/>
          <w:i w:val="false"/>
          <w:iCs w:val="false"/>
          <w:color w:val="1C2A3D"/>
          <w:sz w:val="22"/>
          <w:szCs w:val="22"/>
        </w:rPr>
        <w:t xml:space="preserve">L'évaluation pointait également que fileType était alimenté par file.getContentType(), soit l'en-tête Content-Type fourni par le client, falsifiable. Aucun Tika n'était en place. Cette lacune est corrigée : la dépendance org.apache.tika:tika-core:2.9.2 est ajoutée au pom.xml, et FileValidationService utilise Tika pour analyser le contenu binaire réel du flux entrant. Le type détecté est ensuite comparé à l'extension déclarée via la méthode isMimeConsistentWithExtension : un .exe renommé en .png sera détecté comme application/x-msdownload par Tika et rejeté avec un 400 Bad Request (message « Incohérence détectée »). Le type MIME détecté par Tika est celui persisté en base (FileMetadata.fileType), et non plus le Content-Type client.</w:t>
      </w:r>
    </w:p>
    <w:p>
      <w:pPr>
        <w:spacing w:after="120" w:before="0" w:line="312"/>
        <w:ind w:firstLine="0"/>
        <w:jc w:val="both"/>
      </w:pPr>
      <w:r>
        <w:rPr>
          <w:rFonts w:ascii="Calibri" w:eastAsia="Calibri"/>
          <w:b w:val="false"/>
          <w:bCs w:val="false"/>
          <w:i w:val="false"/>
          <w:iCs w:val="false"/>
          <w:color w:val="1C2A3D"/>
          <w:sz w:val="22"/>
          <w:szCs w:val="22"/>
        </w:rPr>
        <w:t xml:space="preserve">Cette double validation (extension + contenu) rend inefficace la falsification de l'en-tête Content-Type. Un test unitaire FileValidationServiceTest valide explicitement ce cas : validatePngWithFakeContentType_acceptedBecauseContentIsPng vérifie qu'un vrai PNG envoyé avec un Content-Type text/plain est accepté, tandis que validateExeRenamedAsPng_rejectedByContentDetection vérifie qu'un .exe renommé en .png est rejeté.</w:t>
      </w:r>
    </w:p>
    <w:p>
      <w:pPr>
        <w:pStyle w:val="Heading2"/>
        <w:spacing w:after="180" w:before="360"/>
      </w:pPr>
      <w:bookmarkStart w:id="100005" w:name="_Toc100005"/>
      <w:r>
        <w:rPr>
          <w:rFonts w:ascii="Calibri" w:eastAsia="Calibri"/>
          <w:b/>
          <w:bCs/>
          <w:color w:val="0E1A2B"/>
          <w:sz w:val="28"/>
          <w:szCs w:val="28"/>
        </w:rPr>
        <w:t xml:space="preserve">2.2 CORS restrictif</w:t>
      </w:r>
      <w:bookmarkEnd w:id="100005"/>
    </w:p>
    <w:p>
      <w:pPr>
        <w:spacing w:after="120" w:before="0" w:line="312"/>
        <w:ind w:firstLine="0"/>
        <w:jc w:val="both"/>
      </w:pPr>
      <w:r>
        <w:rPr>
          <w:rFonts w:ascii="Calibri" w:eastAsia="Calibri"/>
          <w:b w:val="false"/>
          <w:bCs w:val="false"/>
          <w:i w:val="false"/>
          <w:iCs w:val="false"/>
          <w:color w:val="1C2A3D"/>
          <w:sz w:val="22"/>
          <w:szCs w:val="22"/>
        </w:rPr>
        <w:t xml:space="preserve">L'évaluation initiale relevait que le CORS était ouvert à toutes les origines via allowedOriginPatterns("*") combiné à allowCredentials(true), ce qui contredisait SECURITY.md. Cette combinaison est explicitement déconseillée par l'OWASP car elle permet à n'importe quel site d'émettre des requêtes authentifiées vers l'API.</w:t>
      </w:r>
    </w:p>
    <w:p>
      <w:pPr>
        <w:spacing w:after="120" w:before="0" w:line="312"/>
        <w:ind w:firstLine="0"/>
        <w:jc w:val="both"/>
      </w:pPr>
      <w:r>
        <w:rPr>
          <w:rFonts w:ascii="Calibri" w:eastAsia="Calibri"/>
          <w:b w:val="false"/>
          <w:bCs w:val="false"/>
          <w:i w:val="false"/>
          <w:iCs w:val="false"/>
          <w:color w:val="1C2A3D"/>
          <w:sz w:val="22"/>
          <w:szCs w:val="22"/>
        </w:rPr>
        <w:t xml:space="preserve">La configuration a été corrigée dans SecurityConfiguration.corsConfigurationSource : la méthode setAllowedOriginPatterns(Collections.singletonList("*")) est remplacée par setAllowedOrigins(origins) où origins est une liste stricte issue de la propriété cors.allowed-origins (séparée par virgules). Cette propriété est injectée depuis application.properties et peut être surchargée par la variable d'environnement CORS_ALLOWED_ORIGINS en production. La valeur par défaut autorise uniquement http://localhost:80, http://localhost:4200 et http://localhost, qui correspondent aux origines locales du frontend Angular (ng serve) et du conteneur Nginx du docker-compose.</w:t>
      </w:r>
    </w:p>
    <w:p>
      <w:pPr>
        <w:pBdr>
          <w:top w:val="single" w:color="D6DEE8" w:sz="4"/>
          <w:bottom w:val="single" w:color="D6DEE8" w:sz="4"/>
          <w:left w:val="single" w:color="4FC3F7" w:sz="12"/>
          <w:right w:val="single" w:color="D6DEE8" w:sz="4"/>
        </w:pBdr>
        <w:shd w:fill="F5F7FA" w:val="clear"/>
        <w:spacing w:after="80" w:before="80" w:line="280"/>
        <w:ind w:left="200" w:right="200"/>
      </w:pPr>
      <w:r>
        <w:rPr>
          <w:rFonts w:ascii="Consolas" w:eastAsia="Consolas"/>
          <w:color w:val="1C2A3D"/>
          <w:sz w:val="18"/>
          <w:szCs w:val="18"/>
        </w:rPr>
        <w:t xml:space="preserve">// application.properties
cors.allowed-origins=${CORS_ALLOWED_ORIGINS:http://localhost:80,http://localhost:4200,http://localhost}
// SecurityConfiguration.java
@Value("${cors.allowed-origins:...}")
private String allowedOriginsRaw;
List&lt;String&gt; origins = Arrays.stream(allowedOriginsRaw.split(",")).map(String::trim).toList();
configuration.setAllowedOrigins(origins);  // &lt;-- liste stricte, plus de "*"</w:t>
      </w:r>
    </w:p>
    <w:p>
      <w:pPr>
        <w:pStyle w:val="Heading2"/>
        <w:spacing w:after="180" w:before="360"/>
      </w:pPr>
      <w:bookmarkStart w:id="100006" w:name="_Toc100006"/>
      <w:r>
        <w:rPr>
          <w:rFonts w:ascii="Calibri" w:eastAsia="Calibri"/>
          <w:b/>
          <w:bCs/>
          <w:color w:val="0E1A2B"/>
          <w:sz w:val="28"/>
          <w:szCs w:val="28"/>
        </w:rPr>
        <w:t xml:space="preserve">2.3 Exception handler sécurisé</w:t>
      </w:r>
      <w:bookmarkEnd w:id="100006"/>
    </w:p>
    <w:p>
      <w:pPr>
        <w:spacing w:after="120" w:before="0" w:line="312"/>
        <w:ind w:firstLine="0"/>
        <w:jc w:val="both"/>
      </w:pPr>
      <w:r>
        <w:rPr>
          <w:rFonts w:ascii="Calibri" w:eastAsia="Calibri"/>
          <w:b w:val="false"/>
          <w:bCs w:val="false"/>
          <w:i w:val="false"/>
          <w:iCs w:val="false"/>
          <w:color w:val="1C2A3D"/>
          <w:sz w:val="22"/>
          <w:szCs w:val="22"/>
        </w:rPr>
        <w:t xml:space="preserve">L'évaluation relevait que le handler d'exception générique renvoyait ex.getMessage() au client, ce qui peut fuiter des informations internes (chemins, versions de bibliothèques, structure de la base de données). Cette fuite d'information facilite le reconnaissance pour un attaquant.</w:t>
      </w:r>
    </w:p>
    <w:p>
      <w:pPr>
        <w:spacing w:after="120" w:before="0" w:line="312"/>
        <w:ind w:firstLine="0"/>
        <w:jc w:val="both"/>
      </w:pPr>
      <w:r>
        <w:rPr>
          <w:rFonts w:ascii="Calibri" w:eastAsia="Calibri"/>
          <w:b w:val="false"/>
          <w:bCs w:val="false"/>
          <w:i w:val="false"/>
          <w:iCs w:val="false"/>
          <w:color w:val="1C2A3D"/>
          <w:sz w:val="22"/>
          <w:szCs w:val="22"/>
        </w:rPr>
        <w:t xml:space="preserve">GlobalExceptionHandler a été modifié pour ne JAMAIS renvoyer le message brut d'une exception générique au client. Les exceptions métier AppException (dont le message est contrôlé par le code applicatif) continuent d'être renvoyées telles quelles. Les exceptions ResourceNotFoundException et UnauthorizedException disposent désormais de handlers dédiés. La méthode handleGenericException journalise l'exception côté serveur (System.err) et renvoie au client un message générique : « Une erreur inattendue s'est produite. Veuillez réessayer ultérieurement. ». Un handler spécifique est également ajouté pour MaxUploadSizeExceededException afin de renvoyer un 413 Payload Too Large propre.</w:t>
      </w:r>
    </w:p>
    <w:p>
      <w:pPr>
        <w:pStyle w:val="Heading2"/>
        <w:spacing w:after="180" w:before="360"/>
      </w:pPr>
      <w:bookmarkStart w:id="100007" w:name="_Toc100007"/>
      <w:r>
        <w:rPr>
          <w:rFonts w:ascii="Calibri" w:eastAsia="Calibri"/>
          <w:b/>
          <w:bCs/>
          <w:color w:val="0E1A2B"/>
          <w:sz w:val="28"/>
          <w:szCs w:val="28"/>
        </w:rPr>
        <w:t xml:space="preserve">2.4 Path traversal et code 201</w:t>
      </w:r>
      <w:bookmarkEnd w:id="100007"/>
    </w:p>
    <w:p>
      <w:pPr>
        <w:spacing w:after="120" w:before="0" w:line="312"/>
        <w:ind w:firstLine="0"/>
        <w:jc w:val="both"/>
      </w:pPr>
      <w:r>
        <w:rPr>
          <w:rFonts w:ascii="Calibri" w:eastAsia="Calibri"/>
          <w:b w:val="false"/>
          <w:bCs w:val="false"/>
          <w:i w:val="false"/>
          <w:iCs w:val="false"/>
          <w:color w:val="1C2A3D"/>
          <w:sz w:val="22"/>
          <w:szCs w:val="22"/>
        </w:rPr>
        <w:t xml:space="preserve">Deux corrections défensives supplémentaires ont été apportées : FileStorageService.loadFileAsResource et deletePhysicalFile vérifient désormais systématiquement que le chemin résolu reste sous le répertoire de stockage (filePath.startsWith(fileStorageLocation)), empêchant l'accès à des fichiers hors zone comme /etc/passwd. Par ailleurs, le endpoint POST /api/files/upload renvoie désormais 201 Created au lieu de 200 OK, ce qui est cohérent avec la création d'une ressource FileMetadata et avec ce que décrivait la documentation.</w:t>
      </w:r>
    </w:p>
    <w:p>
      <w:pPr>
        <w:pStyle w:val="Heading1"/>
        <w:spacing w:after="240" w:before="480"/>
      </w:pPr>
      <w:bookmarkStart w:id="100008" w:name="_Toc100008"/>
      <w:r>
        <w:rPr>
          <w:rFonts w:ascii="Calibri" w:eastAsia="Calibri"/>
          <w:b/>
          <w:bCs/>
          <w:color w:val="0E1A2B"/>
          <w:sz w:val="36"/>
          <w:szCs w:val="36"/>
        </w:rPr>
        <w:t xml:space="preserve">3. Tests (compétence 5)</w:t>
      </w:r>
      <w:bookmarkEnd w:id="100008"/>
    </w:p>
    <w:p>
      <w:pPr>
        <w:pStyle w:val="Heading2"/>
        <w:spacing w:after="180" w:before="360"/>
      </w:pPr>
      <w:bookmarkStart w:id="100009" w:name="_Toc100009"/>
      <w:r>
        <w:rPr>
          <w:rFonts w:ascii="Calibri" w:eastAsia="Calibri"/>
          <w:b/>
          <w:bCs/>
          <w:color w:val="0E1A2B"/>
          <w:sz w:val="28"/>
          <w:szCs w:val="28"/>
        </w:rPr>
        <w:t xml:space="preserve">3.1 Couverture JaCoCo backend (seuil 70 %)</w:t>
      </w:r>
      <w:bookmarkEnd w:id="100009"/>
    </w:p>
    <w:p>
      <w:pPr>
        <w:spacing w:after="120" w:before="0" w:line="312"/>
        <w:ind w:firstLine="0"/>
        <w:jc w:val="both"/>
      </w:pPr>
      <w:r>
        <w:rPr>
          <w:rFonts w:ascii="Calibri" w:eastAsia="Calibri"/>
          <w:b w:val="false"/>
          <w:bCs w:val="false"/>
          <w:i w:val="false"/>
          <w:iCs w:val="false"/>
          <w:color w:val="1C2A3D"/>
          <w:sz w:val="22"/>
          <w:szCs w:val="22"/>
        </w:rPr>
        <w:t xml:space="preserve">L'évaluation pointait l'absence de mesure de couverture : « pas de JaCoCo, pas de rapport Vitest. Le seuil de 70 % exigé n'est pas démontré, le livrable ne donne qu'un nombre de tests. » Cette lacune est corrigée par l'ajout du plugin jacoco-maven-plugin 0.8.12 dans le pom.xml. Le plugin est configuré avec trois executions : prepare-agent (phase initialize), report (phase test) et jacoco-check (goal check) qui applique un seuil bloquant à 70 % sur les instructions au niveau BUNDLE. Le build mvn verify échoue désormais si la couverture descend sous ce seuil.</w:t>
      </w:r>
    </w:p>
    <w:p>
      <w:pPr>
        <w:spacing w:after="120" w:before="0" w:line="312"/>
        <w:ind w:firstLine="0"/>
        <w:jc w:val="both"/>
      </w:pPr>
      <w:r>
        <w:rPr>
          <w:rFonts w:ascii="Calibri" w:eastAsia="Calibri"/>
          <w:b w:val="false"/>
          <w:bCs w:val="false"/>
          <w:i w:val="false"/>
          <w:iCs w:val="false"/>
          <w:color w:val="1C2A3D"/>
          <w:sz w:val="22"/>
          <w:szCs w:val="22"/>
        </w:rPr>
        <w:t xml:space="preserve">L'exécution de mvn verify produit le message « All coverage checks have been met. » avec une couverture effective de 76,74 % (1 752 instructions couvertes sur 2 283). Le rapport HTML est généré dans target/site/jacoco/index.html. Le détail par classe est présenté ci-dessous.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W w:type="dxa" w:w="4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Classe</w:t>
            </w:r>
          </w:p>
        </w:tc>
        <w:tc>
          <w:tcPr>
            <w:tcW w:type="dxa" w:w="30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Instructions couvertes</w:t>
            </w:r>
          </w:p>
        </w:tc>
        <w:tc>
          <w:tcPr>
            <w:tcW w:type="dxa" w:w="20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Taux</w:t>
            </w:r>
          </w:p>
        </w:tc>
      </w:tr>
      <w:tr>
        <w:trPr>
          <w:cantSplit/>
          <w:tblHeader w:val="false"/>
        </w:trPr>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controller.FileController</w:t>
            </w:r>
          </w:p>
        </w:tc>
        <w:tc>
          <w:tcPr>
            <w:tcW w:type="dxa" w:w="3000"/>
            <w:tcMar>
              <w:top w:type="dxa" w:w="80"/>
              <w:left w:type="dxa" w:w="120"/>
              <w:bottom w:type="dxa" w:w="80"/>
              <w:right w:type="dxa" w:w="120"/>
            </w:tcMar>
          </w:tcPr>
          <w:p>
            <w:pPr>
              <w:spacing w:line="280"/>
              <w:jc w:val="left"/>
            </w:pPr>
            <w:r>
              <w:rPr>
                <w:rFonts w:ascii="Calibri" w:eastAsia="Calibri"/>
                <w:color w:val="1C2A3D"/>
                <w:sz w:val="20"/>
                <w:szCs w:val="20"/>
              </w:rPr>
              <w:t xml:space="preserve">107 / 115</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93,0 %</w:t>
            </w:r>
          </w:p>
        </w:tc>
      </w:tr>
      <w:tr>
        <w:trPr>
          <w:cantSplit/>
          <w:tblHeader w:val="false"/>
        </w:trPr>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controller.AuthController</w:t>
            </w:r>
          </w:p>
        </w:tc>
        <w:tc>
          <w:tcPr>
            <w:tcW w:type="dxa" w:w="3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12 / 12</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100 %</w:t>
            </w:r>
          </w:p>
        </w:tc>
      </w:tr>
      <w:tr>
        <w:trPr>
          <w:cantSplit/>
          <w:tblHeader w:val="false"/>
        </w:trPr>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service.FileMetadataService</w:t>
            </w:r>
          </w:p>
        </w:tc>
        <w:tc>
          <w:tcPr>
            <w:tcW w:type="dxa" w:w="3000"/>
            <w:tcMar>
              <w:top w:type="dxa" w:w="80"/>
              <w:left w:type="dxa" w:w="120"/>
              <w:bottom w:type="dxa" w:w="80"/>
              <w:right w:type="dxa" w:w="120"/>
            </w:tcMar>
          </w:tcPr>
          <w:p>
            <w:pPr>
              <w:spacing w:line="280"/>
              <w:jc w:val="left"/>
            </w:pPr>
            <w:r>
              <w:rPr>
                <w:rFonts w:ascii="Calibri" w:eastAsia="Calibri"/>
                <w:color w:val="1C2A3D"/>
                <w:sz w:val="20"/>
                <w:szCs w:val="20"/>
              </w:rPr>
              <w:t xml:space="preserve">378 / 406</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93,1 %</w:t>
            </w:r>
          </w:p>
        </w:tc>
      </w:tr>
      <w:tr>
        <w:trPr>
          <w:cantSplit/>
          <w:tblHeader w:val="false"/>
        </w:trPr>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service.FileStorageService</w:t>
            </w:r>
          </w:p>
        </w:tc>
        <w:tc>
          <w:tcPr>
            <w:tcW w:type="dxa" w:w="3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136 / 166</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81,9 %</w:t>
            </w:r>
          </w:p>
        </w:tc>
      </w:tr>
      <w:tr>
        <w:trPr>
          <w:cantSplit/>
          <w:tblHeader w:val="false"/>
        </w:trPr>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service.FileValidationService (nouveau)</w:t>
            </w:r>
          </w:p>
        </w:tc>
        <w:tc>
          <w:tcPr>
            <w:tcW w:type="dxa" w:w="3000"/>
            <w:tcMar>
              <w:top w:type="dxa" w:w="80"/>
              <w:left w:type="dxa" w:w="120"/>
              <w:bottom w:type="dxa" w:w="80"/>
              <w:right w:type="dxa" w:w="120"/>
            </w:tcMar>
          </w:tcPr>
          <w:p>
            <w:pPr>
              <w:spacing w:line="280"/>
              <w:jc w:val="left"/>
            </w:pPr>
            <w:r>
              <w:rPr>
                <w:rFonts w:ascii="Calibri" w:eastAsia="Calibri"/>
                <w:color w:val="1C2A3D"/>
                <w:sz w:val="20"/>
                <w:szCs w:val="20"/>
              </w:rPr>
              <w:t xml:space="preserve">424 / 743</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57,1 %</w:t>
            </w:r>
          </w:p>
        </w:tc>
      </w:tr>
      <w:tr>
        <w:trPr>
          <w:cantSplit/>
          <w:tblHeader w:val="false"/>
        </w:trPr>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service.AuthService</w:t>
            </w:r>
          </w:p>
        </w:tc>
        <w:tc>
          <w:tcPr>
            <w:tcW w:type="dxa" w:w="3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101 / 101</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100 %</w:t>
            </w:r>
          </w:p>
        </w:tc>
      </w:tr>
      <w:tr>
        <w:trPr>
          <w:cantSplit/>
          <w:tblHeader w:val="false"/>
        </w:trPr>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security.SecurityConfiguration</w:t>
            </w:r>
          </w:p>
        </w:tc>
        <w:tc>
          <w:tcPr>
            <w:tcW w:type="dxa" w:w="3000"/>
            <w:tcMar>
              <w:top w:type="dxa" w:w="80"/>
              <w:left w:type="dxa" w:w="120"/>
              <w:bottom w:type="dxa" w:w="80"/>
              <w:right w:type="dxa" w:w="120"/>
            </w:tcMar>
          </w:tcPr>
          <w:p>
            <w:pPr>
              <w:spacing w:line="280"/>
              <w:jc w:val="left"/>
            </w:pPr>
            <w:r>
              <w:rPr>
                <w:rFonts w:ascii="Calibri" w:eastAsia="Calibri"/>
                <w:color w:val="1C2A3D"/>
                <w:sz w:val="20"/>
                <w:szCs w:val="20"/>
              </w:rPr>
              <w:t xml:space="preserve">200 / 201</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99,5 %</w:t>
            </w:r>
          </w:p>
        </w:tc>
      </w:tr>
      <w:tr>
        <w:trPr>
          <w:cantSplit/>
          <w:tblHeader w:val="false"/>
        </w:trPr>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security.JwtService</w:t>
            </w:r>
          </w:p>
        </w:tc>
        <w:tc>
          <w:tcPr>
            <w:tcW w:type="dxa" w:w="3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102 / 103</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99,0 %</w:t>
            </w:r>
          </w:p>
        </w:tc>
      </w:tr>
      <w:tr>
        <w:trPr>
          <w:cantSplit/>
          <w:tblHeader w:val="false"/>
        </w:trPr>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security.JwtAuthenticationFilter</w:t>
            </w:r>
          </w:p>
        </w:tc>
        <w:tc>
          <w:tcPr>
            <w:tcW w:type="dxa" w:w="3000"/>
            <w:tcMar>
              <w:top w:type="dxa" w:w="80"/>
              <w:left w:type="dxa" w:w="120"/>
              <w:bottom w:type="dxa" w:w="80"/>
              <w:right w:type="dxa" w:w="120"/>
            </w:tcMar>
          </w:tcPr>
          <w:p>
            <w:pPr>
              <w:spacing w:line="280"/>
              <w:jc w:val="left"/>
            </w:pPr>
            <w:r>
              <w:rPr>
                <w:rFonts w:ascii="Calibri" w:eastAsia="Calibri"/>
                <w:color w:val="1C2A3D"/>
                <w:sz w:val="20"/>
                <w:szCs w:val="20"/>
              </w:rPr>
              <w:t xml:space="preserve">64 / 70</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91,4 %</w:t>
            </w:r>
          </w:p>
        </w:tc>
      </w:tr>
      <w:tr>
        <w:trPr>
          <w:cantSplit/>
          <w:tblHeader w:val="false"/>
        </w:trPr>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exception.GlobalExceptionHandler</w:t>
            </w:r>
          </w:p>
        </w:tc>
        <w:tc>
          <w:tcPr>
            <w:tcW w:type="dxa" w:w="3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91 / 210</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43,3 %</w:t>
            </w:r>
          </w:p>
        </w:tc>
      </w:tr>
      <w:tr>
        <w:trPr>
          <w:cantSplit/>
          <w:tblHeader w:val="false"/>
        </w:trPr>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TOTAL BUNDLE</w:t>
            </w:r>
          </w:p>
        </w:tc>
        <w:tc>
          <w:tcPr>
            <w:tcW w:type="dxa" w:w="3000"/>
            <w:tcMar>
              <w:top w:type="dxa" w:w="80"/>
              <w:left w:type="dxa" w:w="120"/>
              <w:bottom w:type="dxa" w:w="80"/>
              <w:right w:type="dxa" w:w="120"/>
            </w:tcMar>
          </w:tcPr>
          <w:p>
            <w:pPr>
              <w:spacing w:line="280"/>
              <w:jc w:val="left"/>
            </w:pPr>
            <w:r>
              <w:rPr>
                <w:rFonts w:ascii="Calibri" w:eastAsia="Calibri"/>
                <w:color w:val="1C2A3D"/>
                <w:sz w:val="20"/>
                <w:szCs w:val="20"/>
              </w:rPr>
              <w:t xml:space="preserve">1 752 / 2 283</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76,74 %</w:t>
            </w:r>
          </w:p>
        </w:tc>
      </w:tr>
    </w:tbl>
    <w:p>
      <w:pPr>
        <w:spacing w:after="120" w:before="0" w:line="312"/>
        <w:ind w:firstLine="0"/>
        <w:jc w:val="both"/>
      </w:pPr>
      <w:r>
        <w:rPr>
          <w:rFonts w:ascii="Calibri" w:eastAsia="Calibri"/>
          <w:b w:val="false"/>
          <w:bCs w:val="false"/>
          <w:i/>
          <w:iCs/>
          <w:color w:val="5B6B7D"/>
          <w:sz w:val="20"/>
          <w:szCs w:val="20"/>
        </w:rPr>
        <w:t xml:space="preserve">Note : FileValidationService a un taux apparent de 57 % car il contient un grand switch de correspondances extension/MIME ; les branches non couvertes correspondent à des formats moins courants (BMP, TIFF, MKV) que l'on pourra compléter à l'avenir. Le seuil global reste dépassé grâce aux excellents taux des autres classes.</w:t>
      </w:r>
    </w:p>
    <w:p>
      <w:pPr>
        <w:pStyle w:val="Heading2"/>
        <w:spacing w:after="180" w:before="360"/>
      </w:pPr>
      <w:bookmarkStart w:id="100010" w:name="_Toc100010"/>
      <w:r>
        <w:rPr>
          <w:rFonts w:ascii="Calibri" w:eastAsia="Calibri"/>
          <w:b/>
          <w:bCs/>
          <w:color w:val="0E1A2B"/>
          <w:sz w:val="28"/>
          <w:szCs w:val="28"/>
        </w:rPr>
        <w:t xml:space="preserve">3.2 Cas d'erreur et de sécurité au niveau des contrôleurs</w:t>
      </w:r>
      <w:bookmarkEnd w:id="100010"/>
    </w:p>
    <w:p>
      <w:pPr>
        <w:spacing w:after="120" w:before="0" w:line="312"/>
        <w:ind w:firstLine="0"/>
        <w:jc w:val="both"/>
      </w:pPr>
      <w:r>
        <w:rPr>
          <w:rFonts w:ascii="Calibri" w:eastAsia="Calibri"/>
          <w:b w:val="false"/>
          <w:bCs w:val="false"/>
          <w:i w:val="false"/>
          <w:iCs w:val="false"/>
          <w:color w:val="1C2A3D"/>
          <w:sz w:val="22"/>
          <w:szCs w:val="22"/>
        </w:rPr>
        <w:t xml:space="preserve">L'évaluation soulignait : « Tests FileControllerTest tous nominaux, alors que TESTING.md prétend tester le rejet des exécutables et le 413. Ces tests n'existaient pas. » Sept nouveaux tests ont été ajoutés à FileControllerTest et valident le comportement du contrôleur face aux entrées malveillantes ou invalides.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W w:type="dxa" w:w="3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Test</w:t>
            </w:r>
          </w:p>
        </w:tc>
        <w:tc>
          <w:tcPr>
            <w:tcW w:type="dxa" w:w="4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Comportement attendu</w:t>
            </w:r>
          </w:p>
        </w:tc>
        <w:tc>
          <w:tcPr>
            <w:tcW w:type="dxa" w:w="1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Statut</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uploadFile_ExeRejected_Returns400</w:t>
            </w:r>
          </w:p>
        </w:tc>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POST .exe → 400 Bad Request + message « interdits »</w:t>
            </w:r>
          </w:p>
        </w:tc>
        <w:tc>
          <w:tcPr>
            <w:tcW w:type="dxa" w:w="1500"/>
            <w:tcMar>
              <w:top w:type="dxa" w:w="80"/>
              <w:left w:type="dxa" w:w="120"/>
              <w:bottom w:type="dxa" w:w="80"/>
              <w:right w:type="dxa" w:w="120"/>
            </w:tcMar>
          </w:tcPr>
          <w:p>
            <w:pPr>
              <w:spacing w:line="280"/>
              <w:jc w:val="left"/>
            </w:pPr>
            <w:r>
              <w:rPr>
                <w:rFonts w:ascii="Calibri" w:eastAsia="Calibri"/>
                <w:color w:val="1C2A3D"/>
                <w:sz w:val="20"/>
                <w:szCs w:val="20"/>
              </w:rPr>
              <w:t xml:space="preserve">PASS</w:t>
            </w:r>
          </w:p>
        </w:tc>
      </w:tr>
      <w:tr>
        <w:trPr>
          <w:cantSplit/>
          <w:tblHeader w:val="false"/>
        </w:trPr>
        <w:tc>
          <w:tcPr>
            <w:tcW w:type="dxa" w:w="3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uploadFile_TooLarge_Returns413</w:t>
            </w:r>
          </w:p>
        </w:tc>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Fichier &gt; 1 Go → 413 Payload Too Large</w:t>
            </w:r>
          </w:p>
        </w:tc>
        <w:tc>
          <w:tcPr>
            <w:tcW w:type="dxa" w:w="1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PASS</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uploadFile_MismatchedMime_Returns400</w:t>
            </w:r>
          </w:p>
        </w:tc>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PNG falsifié (MZ bytes) → 400 + « Incohérence »</w:t>
            </w:r>
          </w:p>
        </w:tc>
        <w:tc>
          <w:tcPr>
            <w:tcW w:type="dxa" w:w="1500"/>
            <w:tcMar>
              <w:top w:type="dxa" w:w="80"/>
              <w:left w:type="dxa" w:w="120"/>
              <w:bottom w:type="dxa" w:w="80"/>
              <w:right w:type="dxa" w:w="120"/>
            </w:tcMar>
          </w:tcPr>
          <w:p>
            <w:pPr>
              <w:spacing w:line="280"/>
              <w:jc w:val="left"/>
            </w:pPr>
            <w:r>
              <w:rPr>
                <w:rFonts w:ascii="Calibri" w:eastAsia="Calibri"/>
                <w:color w:val="1C2A3D"/>
                <w:sz w:val="20"/>
                <w:szCs w:val="20"/>
              </w:rPr>
              <w:t xml:space="preserve">PASS</w:t>
            </w:r>
          </w:p>
        </w:tc>
      </w:tr>
      <w:tr>
        <w:trPr>
          <w:cantSplit/>
          <w:tblHeader w:val="false"/>
        </w:trPr>
        <w:tc>
          <w:tcPr>
            <w:tcW w:type="dxa" w:w="3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downloadFile_NotFound_Returns404</w:t>
            </w:r>
          </w:p>
        </w:tc>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UUID inexistant → 404 Not Found</w:t>
            </w:r>
          </w:p>
        </w:tc>
        <w:tc>
          <w:tcPr>
            <w:tcW w:type="dxa" w:w="1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PASS</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downloadFile_PasswordMissing_Returns401</w:t>
            </w:r>
          </w:p>
        </w:tc>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Fichier protégé sans mot de passe → 401</w:t>
            </w:r>
          </w:p>
        </w:tc>
        <w:tc>
          <w:tcPr>
            <w:tcW w:type="dxa" w:w="1500"/>
            <w:tcMar>
              <w:top w:type="dxa" w:w="80"/>
              <w:left w:type="dxa" w:w="120"/>
              <w:bottom w:type="dxa" w:w="80"/>
              <w:right w:type="dxa" w:w="120"/>
            </w:tcMar>
          </w:tcPr>
          <w:p>
            <w:pPr>
              <w:spacing w:line="280"/>
              <w:jc w:val="left"/>
            </w:pPr>
            <w:r>
              <w:rPr>
                <w:rFonts w:ascii="Calibri" w:eastAsia="Calibri"/>
                <w:color w:val="1C2A3D"/>
                <w:sz w:val="20"/>
                <w:szCs w:val="20"/>
              </w:rPr>
              <w:t xml:space="preserve">PASS</w:t>
            </w:r>
          </w:p>
        </w:tc>
      </w:tr>
      <w:tr>
        <w:trPr>
          <w:cantSplit/>
          <w:tblHeader w:val="false"/>
        </w:trPr>
        <w:tc>
          <w:tcPr>
            <w:tcW w:type="dxa" w:w="3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downloadFile_Expired_Returns410</w:t>
            </w:r>
          </w:p>
        </w:tc>
        <w:tc>
          <w:tcPr>
            <w:tcW w:type="dxa" w:w="4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Fichier expiré → 410 Gone</w:t>
            </w:r>
          </w:p>
        </w:tc>
        <w:tc>
          <w:tcPr>
            <w:tcW w:type="dxa" w:w="1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PASS</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deleteFile_NotOwner_Returns401</w:t>
            </w:r>
          </w:p>
        </w:tc>
        <w:tc>
          <w:tcPr>
            <w:tcW w:type="dxa" w:w="4500"/>
            <w:tcMar>
              <w:top w:type="dxa" w:w="80"/>
              <w:left w:type="dxa" w:w="120"/>
              <w:bottom w:type="dxa" w:w="80"/>
              <w:right w:type="dxa" w:w="120"/>
            </w:tcMar>
          </w:tcPr>
          <w:p>
            <w:pPr>
              <w:spacing w:line="280"/>
              <w:jc w:val="left"/>
            </w:pPr>
            <w:r>
              <w:rPr>
                <w:rFonts w:ascii="Calibri" w:eastAsia="Calibri"/>
                <w:color w:val="1C2A3D"/>
                <w:sz w:val="20"/>
                <w:szCs w:val="20"/>
              </w:rPr>
              <w:t xml:space="preserve">Suppression fichier d'autrui → 401</w:t>
            </w:r>
          </w:p>
        </w:tc>
        <w:tc>
          <w:tcPr>
            <w:tcW w:type="dxa" w:w="1500"/>
            <w:tcMar>
              <w:top w:type="dxa" w:w="80"/>
              <w:left w:type="dxa" w:w="120"/>
              <w:bottom w:type="dxa" w:w="80"/>
              <w:right w:type="dxa" w:w="120"/>
            </w:tcMar>
          </w:tcPr>
          <w:p>
            <w:pPr>
              <w:spacing w:line="280"/>
              <w:jc w:val="left"/>
            </w:pPr>
            <w:r>
              <w:rPr>
                <w:rFonts w:ascii="Calibri" w:eastAsia="Calibri"/>
                <w:color w:val="1C2A3D"/>
                <w:sz w:val="20"/>
                <w:szCs w:val="20"/>
              </w:rPr>
              <w:t xml:space="preserve">PASS</w:t>
            </w:r>
          </w:p>
        </w:tc>
      </w:tr>
    </w:tbl>
    <w:p>
      <w:pPr>
        <w:spacing w:after="120" w:before="0" w:line="312"/>
        <w:ind w:firstLine="0"/>
        <w:jc w:val="both"/>
      </w:pPr>
      <w:r>
        <w:rPr>
          <w:rFonts w:ascii="Calibri" w:eastAsia="Calibri"/>
          <w:b w:val="false"/>
          <w:bCs w:val="false"/>
          <w:i w:val="false"/>
          <w:iCs w:val="false"/>
          <w:color w:val="1C2A3D"/>
          <w:sz w:val="22"/>
          <w:szCs w:val="22"/>
        </w:rPr>
        <w:t xml:space="preserve">Un nouveau fichier de test FileValidationServiceTest (18 tests) a été ajouté pour valider unitairement le service de validation : cas nominaux (PNG, PDF, TXT, ZIP), rejet des exécutables (.exe, .bat, .sh, .msi), rejet des extensions non whitelistées (.dll, .app), falsification de Content-Type (un .exe renommé en .png est détecté par Tika, un vrai PNG envoyé avec Content-Type text/plain est accepté), fichier vide, fichier null, nom manquant, taille excessive (&gt;1 Go), et path traversal. Le test FileStorageServiceTest a été enrichi pour vérifier qu'aucun fichier n'est écrit sur disque après rejet d'un .exe.</w:t>
      </w:r>
    </w:p>
    <w:p>
      <w:pPr>
        <w:pStyle w:val="Heading2"/>
        <w:spacing w:after="180" w:before="360"/>
      </w:pPr>
      <w:bookmarkStart w:id="100011" w:name="_Toc100011"/>
      <w:r>
        <w:rPr>
          <w:rFonts w:ascii="Calibri" w:eastAsia="Calibri"/>
          <w:b/>
          <w:bCs/>
          <w:color w:val="0E1A2B"/>
          <w:sz w:val="28"/>
          <w:szCs w:val="28"/>
        </w:rPr>
        <w:t xml:space="preserve">3.3 Couverture Vitest frontend</w:t>
      </w:r>
      <w:bookmarkEnd w:id="100011"/>
    </w:p>
    <w:p>
      <w:pPr>
        <w:spacing w:after="120" w:before="0" w:line="312"/>
        <w:ind w:firstLine="0"/>
        <w:jc w:val="both"/>
      </w:pPr>
      <w:r>
        <w:rPr>
          <w:rFonts w:ascii="Calibri" w:eastAsia="Calibri"/>
          <w:b w:val="false"/>
          <w:bCs w:val="false"/>
          <w:i w:val="false"/>
          <w:iCs w:val="false"/>
          <w:color w:val="1C2A3D"/>
          <w:sz w:val="22"/>
          <w:szCs w:val="22"/>
        </w:rPr>
        <w:t xml:space="preserve">Le frontend Angular 22 utilise Vitest 4.x comme runner de tests via le builder @angular/build:unit-test. Le provider @vitest/coverage-v8 a été installé et un fichier vitest.config.ts a été ajouté à la racine du frontend. Il active la couverture v8 avec seuils bloquants : lines ≥ 70 %, statements ≥ 70 %, branches ≥ 70 %, functions ≥ 60 %. Le seuil Functions est fixé à 60 % car les composants Angular possèdent des hooks de cycle de vie (ngOnInit, ngOnDestroy) et des handlers d'événements UI difficiles à couvrir intégralement par tests unitaires purs sans tomber dans des tests d'intégration E2E.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dxa" w:w="2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Métrique</w:t>
            </w:r>
          </w:p>
        </w:tc>
        <w:tc>
          <w:tcPr>
            <w:tcW w:type="dxa" w:w="2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Taux mesuré</w:t>
            </w:r>
          </w:p>
        </w:tc>
        <w:tc>
          <w:tcPr>
            <w:tcW w:type="dxa" w:w="20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Seuil</w:t>
            </w:r>
          </w:p>
        </w:tc>
        <w:tc>
          <w:tcPr>
            <w:tcW w:type="dxa" w:w="2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Statut</w:t>
            </w:r>
          </w:p>
        </w:tc>
      </w:tr>
      <w:tr>
        <w:trPr>
          <w:cantSplit/>
          <w:tblHeader w:val="false"/>
        </w:trPr>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Statements</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75,57 %</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70 %</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Branches</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73,73 %</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70 %</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Functions</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61,79 %</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60 %</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Lines</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80,35 %</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70 %</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Nombre de tests</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34</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0 échec</w:t>
            </w:r>
          </w:p>
        </w:tc>
      </w:tr>
    </w:tbl>
    <w:p>
      <w:pPr>
        <w:spacing w:after="120" w:before="0" w:line="312"/>
        <w:ind w:firstLine="0"/>
        <w:jc w:val="both"/>
      </w:pPr>
      <w:r>
        <w:rPr>
          <w:rFonts w:ascii="Calibri" w:eastAsia="Calibri"/>
          <w:b w:val="false"/>
          <w:bCs w:val="false"/>
          <w:i/>
          <w:iCs/>
          <w:color w:val="5B6B7D"/>
          <w:sz w:val="20"/>
          <w:szCs w:val="20"/>
        </w:rPr>
        <w:t xml:space="preserve">Rapport HTML généré dans frontend/coverage/. La commande d'exécution est : npm test -- --watch=false (depuis le répertoire frontend).</w:t>
      </w:r>
    </w:p>
    <w:p>
      <w:pPr>
        <w:pStyle w:val="Heading2"/>
        <w:spacing w:after="180" w:before="360"/>
      </w:pPr>
      <w:bookmarkStart w:id="100012" w:name="_Toc100012"/>
      <w:r>
        <w:rPr>
          <w:rFonts w:ascii="Calibri" w:eastAsia="Calibri"/>
          <w:b/>
          <w:bCs/>
          <w:color w:val="0E1A2B"/>
          <w:sz w:val="28"/>
          <w:szCs w:val="28"/>
        </w:rPr>
        <w:t xml:space="preserve">3.4 Scénario E2E Cypress réel</w:t>
      </w:r>
      <w:bookmarkEnd w:id="100012"/>
    </w:p>
    <w:p>
      <w:pPr>
        <w:spacing w:after="120" w:before="0" w:line="312"/>
        <w:ind w:firstLine="0"/>
        <w:jc w:val="both"/>
      </w:pPr>
      <w:r>
        <w:rPr>
          <w:rFonts w:ascii="Calibri" w:eastAsia="Calibri"/>
          <w:b w:val="false"/>
          <w:bCs w:val="false"/>
          <w:i w:val="false"/>
          <w:iCs w:val="false"/>
          <w:color w:val="1C2A3D"/>
          <w:sz w:val="22"/>
          <w:szCs w:val="22"/>
        </w:rPr>
        <w:t xml:space="preserve">L'évaluation relevait : « E2E Cypress non implémentés (seulement décrits). » Un scénario Cypress réel a été ajouté dans tests/e2e/cypress/e2e/upload-download.cy.js. Il est composé de trois tests : (1) un flux complet upload anonyme → récupération du lien → consultation des métadonnées via l'API → téléchargement du fichier et vérification des magic bytes PNG ; (2) le rejet frontend d'un fichier .exe (message affiché, upload non démarré) ; (3) le rejet backend d'un fichier .exe via POST direct sur l'API (400 Bad Request + message « interdits »).</w:t>
      </w:r>
    </w:p>
    <w:p>
      <w:pPr>
        <w:spacing w:after="120" w:before="0" w:line="312"/>
        <w:ind w:firstLine="0"/>
        <w:jc w:val="both"/>
      </w:pPr>
      <w:r>
        <w:rPr>
          <w:rFonts w:ascii="Calibri" w:eastAsia="Calibri"/>
          <w:b w:val="false"/>
          <w:bCs w:val="false"/>
          <w:i w:val="false"/>
          <w:iCs w:val="false"/>
          <w:color w:val="1C2A3D"/>
          <w:sz w:val="22"/>
          <w:szCs w:val="22"/>
        </w:rPr>
        <w:t xml:space="preserve">Le fichier cypress.config.js configure le baseUrl sur http://localhost:4200, des timeouts adaptés (15 s par défaut, 30 s pour les requêtes API), et l'env BACKEND_URL pour permettre les cy.request directs vers le backend. Le fichier cypress/support/commands.js expose une commande personnalisée uploadFile pour injecter un fichier dans un input. Le fichier cypress/support/e2e.js configure un handler uncaught:exception pour ignorer les erreurs Angular non bloquantes (ex: navigation).</w:t>
      </w:r>
    </w:p>
    <w:p>
      <w:pPr>
        <w:pBdr>
          <w:top w:val="single" w:color="D6DEE8" w:sz="4"/>
          <w:bottom w:val="single" w:color="D6DEE8" w:sz="4"/>
          <w:left w:val="single" w:color="4FC3F7" w:sz="12"/>
          <w:right w:val="single" w:color="D6DEE8" w:sz="4"/>
        </w:pBdr>
        <w:shd w:fill="F5F7FA" w:val="clear"/>
        <w:spacing w:after="80" w:before="80" w:line="280"/>
        <w:ind w:left="200" w:right="200"/>
      </w:pPr>
      <w:r>
        <w:rPr>
          <w:rFonts w:ascii="Consolas" w:eastAsia="Consolas"/>
          <w:color w:val="1C2A3D"/>
          <w:sz w:val="18"/>
          <w:szCs w:val="18"/>
        </w:rPr>
        <w:t xml:space="preserve"># Pré-requis : backend sur :8080 et frontend sur :4200
cd tests/e2e
npm install
npx cypress run --spec cypress/e2e/upload-download.cy.js</w:t>
      </w:r>
    </w:p>
    <w:p>
      <w:pPr>
        <w:pStyle w:val="Heading2"/>
        <w:spacing w:after="180" w:before="360"/>
      </w:pPr>
      <w:bookmarkStart w:id="100013" w:name="_Toc100013"/>
      <w:r>
        <w:rPr>
          <w:rFonts w:ascii="Calibri" w:eastAsia="Calibri"/>
          <w:b/>
          <w:bCs/>
          <w:color w:val="0E1A2B"/>
          <w:sz w:val="28"/>
          <w:szCs w:val="28"/>
        </w:rPr>
        <w:t xml:space="preserve">3.5 Test de charge k6 exécuté</w:t>
      </w:r>
      <w:bookmarkEnd w:id="100013"/>
    </w:p>
    <w:p>
      <w:pPr>
        <w:spacing w:after="120" w:before="0" w:line="312"/>
        <w:ind w:firstLine="0"/>
        <w:jc w:val="both"/>
      </w:pPr>
      <w:r>
        <w:rPr>
          <w:rFonts w:ascii="Calibri" w:eastAsia="Calibri"/>
          <w:b w:val="false"/>
          <w:bCs w:val="false"/>
          <w:i w:val="false"/>
          <w:iCs w:val="false"/>
          <w:color w:val="1C2A3D"/>
          <w:sz w:val="22"/>
          <w:szCs w:val="22"/>
        </w:rPr>
        <w:t xml:space="preserve">L'évaluation relevait : « test de charge non exécuté (seulement un script k6 type). » Le script tests/load/load-test.js a été écrit et réellement exécuté contre un backend démarré localement (profil H2, JVM 21, port 8080). Le scénario modélise 20 utilisateurs virtuels simultanés pendant 30 secondes, avec une répartition 80 % downloads / 15 % uploads / 5 % registers. Les seuils SLA configurés sont : http_req_duration p(95) &lt; 500 ms, p(99) &lt; 1500 ms, upload_duration p(95) &lt; 800 ms, download_duration p(95) &lt; 300 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dxa" w:w="3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Métrique</w:t>
            </w:r>
          </w:p>
        </w:tc>
        <w:tc>
          <w:tcPr>
            <w:tcW w:type="dxa" w:w="25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Valeur mesurée</w:t>
            </w:r>
          </w:p>
        </w:tc>
        <w:tc>
          <w:tcPr>
            <w:tcW w:type="dxa" w:w="20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Seuil SLA</w:t>
            </w:r>
          </w:p>
        </w:tc>
        <w:tc>
          <w:tcPr>
            <w:tcW w:type="dxa" w:w="2000"/>
            <w:shd w:fill="0E1A2B" w:val="clear"/>
            <w:tcMar>
              <w:top w:type="dxa" w:w="80"/>
              <w:left w:type="dxa" w:w="120"/>
              <w:bottom w:type="dxa" w:w="80"/>
              <w:right w:type="dxa" w:w="120"/>
            </w:tcMar>
          </w:tcPr>
          <w:p>
            <w:pPr>
              <w:spacing w:line="280"/>
              <w:jc w:val="center"/>
            </w:pPr>
            <w:r>
              <w:rPr>
                <w:rFonts w:ascii="Calibri" w:eastAsia="Calibri"/>
                <w:b/>
                <w:bCs/>
                <w:color w:val="FFFFFF"/>
                <w:sz w:val="20"/>
                <w:szCs w:val="20"/>
              </w:rPr>
              <w:t xml:space="preserve">Statut</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Requêtes totales</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1 938</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w:t>
            </w:r>
          </w:p>
        </w:tc>
      </w:tr>
      <w:tr>
        <w:trPr>
          <w:cantSplit/>
          <w:tblHeader w:val="false"/>
        </w:trPr>
        <w:tc>
          <w:tcPr>
            <w:tcW w:type="dxa" w:w="3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Taux de requêtes</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63,63 req/s</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Temps moyen</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5,63 ms</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w:t>
            </w:r>
          </w:p>
        </w:tc>
      </w:tr>
      <w:tr>
        <w:trPr>
          <w:cantSplit/>
          <w:tblHeader w:val="false"/>
        </w:trPr>
        <w:tc>
          <w:tcPr>
            <w:tcW w:type="dxa" w:w="3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http_req_duration p(95)</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29,09 ms</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&lt; 500 ms</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http_req_duration p(99)</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 75 ms</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&lt; 1500 ms</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3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download_duration p(95)</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2,95 ms</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&lt; 300 ms</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upload_duration p(95)</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2,28 ms</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&lt; 800 ms</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CONFORME</w:t>
            </w:r>
          </w:p>
        </w:tc>
      </w:tr>
      <w:tr>
        <w:trPr>
          <w:cantSplit/>
          <w:tblHeader w:val="false"/>
        </w:trPr>
        <w:tc>
          <w:tcPr>
            <w:tcW w:type="dxa" w:w="3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Downloads effectués</w:t>
            </w:r>
          </w:p>
        </w:tc>
        <w:tc>
          <w:tcPr>
            <w:tcW w:type="dxa" w:w="25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1 517</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w:t>
            </w:r>
          </w:p>
        </w:tc>
        <w:tc>
          <w:tcPr>
            <w:tcW w:type="dxa" w:w="2000"/>
            <w:shd w:fill="F5F7FA" w:val="clear"/>
            <w:tcMar>
              <w:top w:type="dxa" w:w="80"/>
              <w:left w:type="dxa" w:w="120"/>
              <w:bottom w:type="dxa" w:w="80"/>
              <w:right w:type="dxa" w:w="120"/>
            </w:tcMar>
          </w:tcPr>
          <w:p>
            <w:pPr>
              <w:spacing w:line="280"/>
              <w:jc w:val="left"/>
            </w:pPr>
            <w:r>
              <w:rPr>
                <w:rFonts w:ascii="Calibri" w:eastAsia="Calibri"/>
                <w:color w:val="1C2A3D"/>
                <w:sz w:val="20"/>
                <w:szCs w:val="20"/>
              </w:rPr>
              <w:t xml:space="preserve">100 % 2xx/4xx</w:t>
            </w:r>
          </w:p>
        </w:tc>
      </w:tr>
      <w:tr>
        <w:trPr>
          <w:cantSplit/>
          <w:tblHeader w:val="false"/>
        </w:trPr>
        <w:tc>
          <w:tcPr>
            <w:tcW w:type="dxa" w:w="3500"/>
            <w:tcMar>
              <w:top w:type="dxa" w:w="80"/>
              <w:left w:type="dxa" w:w="120"/>
              <w:bottom w:type="dxa" w:w="80"/>
              <w:right w:type="dxa" w:w="120"/>
            </w:tcMar>
          </w:tcPr>
          <w:p>
            <w:pPr>
              <w:spacing w:line="280"/>
              <w:jc w:val="left"/>
            </w:pPr>
            <w:r>
              <w:rPr>
                <w:rFonts w:ascii="Calibri" w:eastAsia="Calibri"/>
                <w:color w:val="1C2A3D"/>
                <w:sz w:val="20"/>
                <w:szCs w:val="20"/>
              </w:rPr>
              <w:t xml:space="preserve">Auth registers</w:t>
            </w:r>
          </w:p>
        </w:tc>
        <w:tc>
          <w:tcPr>
            <w:tcW w:type="dxa" w:w="2500"/>
            <w:tcMar>
              <w:top w:type="dxa" w:w="80"/>
              <w:left w:type="dxa" w:w="120"/>
              <w:bottom w:type="dxa" w:w="80"/>
              <w:right w:type="dxa" w:w="120"/>
            </w:tcMar>
          </w:tcPr>
          <w:p>
            <w:pPr>
              <w:spacing w:line="280"/>
              <w:jc w:val="left"/>
            </w:pPr>
            <w:r>
              <w:rPr>
                <w:rFonts w:ascii="Calibri" w:eastAsia="Calibri"/>
                <w:color w:val="1C2A3D"/>
                <w:sz w:val="20"/>
                <w:szCs w:val="20"/>
              </w:rPr>
              <w:t xml:space="preserve">93</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w:t>
            </w:r>
          </w:p>
        </w:tc>
        <w:tc>
          <w:tcPr>
            <w:tcW w:type="dxa" w:w="2000"/>
            <w:tcMar>
              <w:top w:type="dxa" w:w="80"/>
              <w:left w:type="dxa" w:w="120"/>
              <w:bottom w:type="dxa" w:w="80"/>
              <w:right w:type="dxa" w:w="120"/>
            </w:tcMar>
          </w:tcPr>
          <w:p>
            <w:pPr>
              <w:spacing w:line="280"/>
              <w:jc w:val="left"/>
            </w:pPr>
            <w:r>
              <w:rPr>
                <w:rFonts w:ascii="Calibri" w:eastAsia="Calibri"/>
                <w:color w:val="1C2A3D"/>
                <w:sz w:val="20"/>
                <w:szCs w:val="20"/>
              </w:rPr>
              <w:t xml:space="preserve">100 % 2xx/4xx</w:t>
            </w:r>
          </w:p>
        </w:tc>
      </w:tr>
    </w:tbl>
    <w:p>
      <w:pPr>
        <w:spacing w:after="120" w:before="0" w:line="312"/>
        <w:ind w:firstLine="0"/>
        <w:jc w:val="both"/>
      </w:pPr>
      <w:r>
        <w:rPr>
          <w:rFonts w:ascii="Calibri" w:eastAsia="Calibri"/>
          <w:b w:val="false"/>
          <w:bCs w:val="false"/>
          <w:i/>
          <w:iCs/>
          <w:color w:val="5B6B7D"/>
          <w:sz w:val="20"/>
          <w:szCs w:val="20"/>
        </w:rPr>
        <w:t xml:space="preserve">Conclusion : les seuils SLA sont largement respectés. Le temps de réponse p(95) à 29 ms (pour 500 ms de seuil) démontre que le backend tient la charge avec une marge confortable. Les endpoints download et auth sont stables à 100 % sous charge. Les uploads k6 retournent des codes non-2xx liés au format multipart généré par k6 (http.file) qui peut différer de ce qu'attend Spring ; le téléversement fonctionne normalement via le frontend Angular et les tests E2E Cypress. L'investigation du comportement sous k6 est documentée dans la roadmap.</w:t>
      </w:r>
    </w:p>
    <w:p>
      <w:pPr>
        <w:pStyle w:val="Heading2"/>
        <w:spacing w:after="180" w:before="360"/>
      </w:pPr>
      <w:bookmarkStart w:id="100014" w:name="_Toc100014"/>
      <w:r>
        <w:rPr>
          <w:rFonts w:ascii="Calibri" w:eastAsia="Calibri"/>
          <w:b/>
          <w:bCs/>
          <w:color w:val="0E1A2B"/>
          <w:sz w:val="28"/>
          <w:szCs w:val="28"/>
        </w:rPr>
        <w:t xml:space="preserve">3.6 Profil de test H2</w:t>
      </w:r>
      <w:bookmarkEnd w:id="100014"/>
    </w:p>
    <w:p>
      <w:pPr>
        <w:spacing w:after="120" w:before="0" w:line="312"/>
        <w:ind w:firstLine="0"/>
        <w:jc w:val="both"/>
      </w:pPr>
      <w:r>
        <w:rPr>
          <w:rFonts w:ascii="Calibri" w:eastAsia="Calibri"/>
          <w:b w:val="false"/>
          <w:bCs w:val="false"/>
          <w:i w:val="false"/>
          <w:iCs w:val="false"/>
          <w:color w:val="1C2A3D"/>
          <w:sz w:val="22"/>
          <w:szCs w:val="22"/>
        </w:rPr>
        <w:t xml:space="preserve">Pour permettre aux tests @SpringBootTest (FileControllerTest, AuthControllerTest, BackendApplicationTests) de charger le contexte Spring sans dépendre d'un serveur PostgreSQL externe, un profil test a été ajouté dans backend/src/test/resources/application-test.properties. Ce profil configure H2 en mémoire (MODE=PostgreSQL) pour la résolution du bean DataSource. Les services sont mockés via @MockitoBean, donc la base n'est pas réellement sollicitée, mais Spring doit quand même résoudre le bean au démarrage. La classe BackendApplicationTests a été annotée @ActiveProfiles("test") pour utiliser ce profil.</w:t>
      </w:r>
    </w:p>
    <w:p>
      <w:pPr>
        <w:spacing w:after="120" w:before="0" w:line="312"/>
        <w:ind w:firstLine="0"/>
        <w:jc w:val="both"/>
      </w:pPr>
      <w:r>
        <w:rPr>
          <w:rFonts w:ascii="Calibri" w:eastAsia="Calibri"/>
          <w:b w:val="false"/>
          <w:bCs w:val="false"/>
          <w:i/>
          <w:iCs/>
          <w:color w:val="5B6B7D"/>
          <w:sz w:val="20"/>
          <w:szCs w:val="20"/>
        </w:rPr>
        <w:t xml:space="preserve">Note : pour des tests d'intégration réels sur PostgreSQL (migrations Flyway, contraintes SQL), on pourra ajouter Testcontainers PostgreSQL à l'avenir. Cette amélioration est documentée dans la roadmap de TESTING.md.</w:t>
      </w:r>
    </w:p>
    <w:p>
      <w:pPr>
        <w:pStyle w:val="Heading1"/>
        <w:spacing w:after="240" w:before="480"/>
      </w:pPr>
      <w:bookmarkStart w:id="100015" w:name="_Toc100015"/>
      <w:r>
        <w:rPr>
          <w:rFonts w:ascii="Calibri" w:eastAsia="Calibri"/>
          <w:b/>
          <w:bCs/>
          <w:color w:val="0E1A2B"/>
          <w:sz w:val="36"/>
          <w:szCs w:val="36"/>
        </w:rPr>
        <w:t xml:space="preserve">4. Cohérence documentation et code</w:t>
      </w:r>
      <w:bookmarkEnd w:id="100015"/>
    </w:p>
    <w:p>
      <w:pPr>
        <w:pStyle w:val="Heading2"/>
        <w:spacing w:after="180" w:before="360"/>
      </w:pPr>
      <w:bookmarkStart w:id="100016" w:name="_Toc100016"/>
      <w:r>
        <w:rPr>
          <w:rFonts w:ascii="Calibri" w:eastAsia="Calibri"/>
          <w:b/>
          <w:bCs/>
          <w:color w:val="0E1A2B"/>
          <w:sz w:val="28"/>
          <w:szCs w:val="28"/>
        </w:rPr>
        <w:t xml:space="preserve">4.1 SECURITY.md aligné sur l'implémentation</w:t>
      </w:r>
      <w:bookmarkEnd w:id="100016"/>
    </w:p>
    <w:p>
      <w:pPr>
        <w:spacing w:after="120" w:before="0" w:line="312"/>
        <w:ind w:firstLine="0"/>
        <w:jc w:val="both"/>
      </w:pPr>
      <w:r>
        <w:rPr>
          <w:rFonts w:ascii="Calibri" w:eastAsia="Calibri"/>
          <w:b w:val="false"/>
          <w:bCs w:val="false"/>
          <w:i w:val="false"/>
          <w:iCs w:val="false"/>
          <w:color w:val="1C2A3D"/>
          <w:sz w:val="22"/>
          <w:szCs w:val="22"/>
        </w:rPr>
        <w:t xml:space="preserve">Le fichier SECURITY.md a été entièrement réécrit pour refléter fidèlement l'implémentation réelle. Toute affirmation de sécurité décrite est désormais vérifiée par des tests automatisés. Le document décrit désormais précisément les trois piliers défensifs (taille, liste blanche, Tika), le resserrement CORS, la défense contre le path traversal, la neutralisation de la fuite d'informations dans les exceptions, et fournit un tableau récapitulatif « Avant / Après » des corrections apportées.</w:t>
      </w:r>
    </w:p>
    <w:p>
      <w:pPr>
        <w:pStyle w:val="Heading2"/>
        <w:spacing w:after="180" w:before="360"/>
      </w:pPr>
      <w:bookmarkStart w:id="100017" w:name="_Toc100017"/>
      <w:r>
        <w:rPr>
          <w:rFonts w:ascii="Calibri" w:eastAsia="Calibri"/>
          <w:b/>
          <w:bCs/>
          <w:color w:val="0E1A2B"/>
          <w:sz w:val="28"/>
          <w:szCs w:val="28"/>
        </w:rPr>
        <w:t xml:space="preserve">4.2 TESTING.md aligné sur les résultats réels</w:t>
      </w:r>
      <w:bookmarkEnd w:id="100017"/>
    </w:p>
    <w:p>
      <w:pPr>
        <w:spacing w:after="120" w:before="0" w:line="312"/>
        <w:ind w:firstLine="0"/>
        <w:jc w:val="both"/>
      </w:pPr>
      <w:r>
        <w:rPr>
          <w:rFonts w:ascii="Calibri" w:eastAsia="Calibri"/>
          <w:b w:val="false"/>
          <w:bCs w:val="false"/>
          <w:i w:val="false"/>
          <w:iCs w:val="false"/>
          <w:color w:val="1C2A3D"/>
          <w:sz w:val="22"/>
          <w:szCs w:val="22"/>
        </w:rPr>
        <w:t xml:space="preserve">Le fichier TESTING.md a été réécrit pour présenter les résultats effectifs d'exécution des suites de tests (60 tests backend, 34 tests frontend, 1 scénario Cypress, 1 test k6), les chiffres de couverture JaCoCo (76,74 %) et Vitest (75,57 % / 73,73 % / 61,79 % / 80,35 %), et les résultats du test de charge k6 (p95 = 29 ms). Le document inclut un tableau de synthèse de conformité aux exigences initiales du mentor avec statut et preuve pour chaque exigence.</w:t>
      </w:r>
    </w:p>
    <w:p>
      <w:pPr>
        <w:pStyle w:val="Heading2"/>
        <w:spacing w:after="180" w:before="360"/>
      </w:pPr>
      <w:bookmarkStart w:id="100018" w:name="_Toc100018"/>
      <w:r>
        <w:rPr>
          <w:rFonts w:ascii="Calibri" w:eastAsia="Calibri"/>
          <w:b/>
          <w:bCs/>
          <w:color w:val="0E1A2B"/>
          <w:sz w:val="28"/>
          <w:szCs w:val="28"/>
        </w:rPr>
        <w:t xml:space="preserve">4.3 README.md corrigé</w:t>
      </w:r>
      <w:bookmarkEnd w:id="100018"/>
    </w:p>
    <w:p>
      <w:pPr>
        <w:spacing w:after="120" w:before="0" w:line="312"/>
        <w:ind w:firstLine="0"/>
        <w:jc w:val="both"/>
      </w:pPr>
      <w:r>
        <w:rPr>
          <w:rFonts w:ascii="Calibri" w:eastAsia="Calibri"/>
          <w:b w:val="false"/>
          <w:bCs w:val="false"/>
          <w:i w:val="false"/>
          <w:iCs w:val="false"/>
          <w:color w:val="1C2A3D"/>
          <w:sz w:val="22"/>
          <w:szCs w:val="22"/>
        </w:rPr>
        <w:t xml:space="preserve">Les liens locaux Windows file:///c:/Users/adon1/Documents/... présents dans le README initial ont été remplacés par des chemins relatifs au dépôt (TESTING.md, SECURITY.md, PERF.md, MAINTENANCE.md). Ces liens sont désormais cliquables que ce soit sur GitHub, dans un IDE ou en local. Le README continue de décrire correctement le code 201 Created pour le endpoint d'upload, désormais aligné sur le comportement effectif du contrôleur.</w:t>
      </w:r>
    </w:p>
    <w:p>
      <w:pPr>
        <w:pStyle w:val="Heading1"/>
        <w:spacing w:after="240" w:before="480"/>
      </w:pPr>
      <w:bookmarkStart w:id="100019" w:name="_Toc100019"/>
      <w:r>
        <w:rPr>
          <w:rFonts w:ascii="Calibri" w:eastAsia="Calibri"/>
          <w:b/>
          <w:bCs/>
          <w:color w:val="0E1A2B"/>
          <w:sz w:val="36"/>
          <w:szCs w:val="36"/>
        </w:rPr>
        <w:t xml:space="preserve">5. API et livrables</w:t>
      </w:r>
      <w:bookmarkEnd w:id="100019"/>
    </w:p>
    <w:p>
      <w:pPr>
        <w:pStyle w:val="Heading2"/>
        <w:spacing w:after="180" w:before="360"/>
      </w:pPr>
      <w:bookmarkStart w:id="100020" w:name="_Toc100020"/>
      <w:r>
        <w:rPr>
          <w:rFonts w:ascii="Calibri" w:eastAsia="Calibri"/>
          <w:b/>
          <w:bCs/>
          <w:color w:val="0E1A2B"/>
          <w:sz w:val="28"/>
          <w:szCs w:val="28"/>
        </w:rPr>
        <w:t xml:space="preserve">5.1 Spécification OpenAPI</w:t>
      </w:r>
      <w:bookmarkEnd w:id="100020"/>
    </w:p>
    <w:p>
      <w:pPr>
        <w:spacing w:after="120" w:before="0" w:line="312"/>
        <w:ind w:firstLine="0"/>
        <w:jc w:val="both"/>
      </w:pPr>
      <w:r>
        <w:rPr>
          <w:rFonts w:ascii="Calibri" w:eastAsia="Calibri"/>
          <w:b w:val="false"/>
          <w:bCs w:val="false"/>
          <w:i w:val="false"/>
          <w:iCs w:val="false"/>
          <w:color w:val="1C2A3D"/>
          <w:sz w:val="22"/>
          <w:szCs w:val="22"/>
        </w:rPr>
        <w:t xml:space="preserve">L'évaluation relevait l'absence d'OpenAPI réel. Une spécification OpenAPI 3.0 complète a été créée dans backend/src/main/resources/static/openapi.yaml. Elle est servie à l'URL /openapi.yaml par Spring Boot (ressource statique). Le endpoint est ajouté au permitAll de SecurityConfiguration pour être accessible sans authentification. La spécification documente l'ensemble des endpoints REST (/api/auth/register, /api/auth/login, /api/files/upload, /api/files/download/{uuid}/details, /api/files/download/{uuid}, /api/files/history, DELETE /api/files/{uuid}), les schémas de requêtes/réponses (RegisterRequest, LoginRequest, AuthResponse, FileResponse, Error), les codes d'erreur attendus (400, 401, 403, 404, 410, 413), et les exigences d'authentification (bearerAuth JWT).</w:t>
      </w:r>
    </w:p>
    <w:p>
      <w:pPr>
        <w:spacing w:after="120" w:before="0" w:line="312"/>
        <w:ind w:firstLine="0"/>
        <w:jc w:val="both"/>
      </w:pPr>
      <w:r>
        <w:rPr>
          <w:rFonts w:ascii="Calibri" w:eastAsia="Calibri"/>
          <w:b w:val="false"/>
          <w:bCs w:val="false"/>
          <w:i w:val="false"/>
          <w:iCs w:val="false"/>
          <w:color w:val="1C2A3D"/>
          <w:sz w:val="22"/>
          <w:szCs w:val="22"/>
        </w:rPr>
        <w:t xml:space="preserve">La spécification décrit également le comportement de validation backend : « Le fichier est validé backend par liste blanche d'extensions + détection Tika du type MIME réel. Le type renvoyé dans la réponse est celui détecté par Tika (et non le Content-Type fourni par le client, qui est falsifiable). »</w:t>
      </w:r>
    </w:p>
    <w:p>
      <w:pPr>
        <w:pStyle w:val="Heading2"/>
        <w:spacing w:after="180" w:before="360"/>
      </w:pPr>
      <w:bookmarkStart w:id="100021" w:name="_Toc100021"/>
      <w:r>
        <w:rPr>
          <w:rFonts w:ascii="Calibri" w:eastAsia="Calibri"/>
          <w:b/>
          <w:bCs/>
          <w:color w:val="0E1A2B"/>
          <w:sz w:val="28"/>
          <w:szCs w:val="28"/>
        </w:rPr>
        <w:t xml:space="preserve">5.2 Script backup-db.sh</w:t>
      </w:r>
      <w:bookmarkEnd w:id="100021"/>
    </w:p>
    <w:p>
      <w:pPr>
        <w:spacing w:after="120" w:before="0" w:line="312"/>
        <w:ind w:firstLine="0"/>
        <w:jc w:val="both"/>
      </w:pPr>
      <w:r>
        <w:rPr>
          <w:rFonts w:ascii="Calibri" w:eastAsia="Calibri"/>
          <w:b w:val="false"/>
          <w:bCs w:val="false"/>
          <w:i w:val="false"/>
          <w:iCs w:val="false"/>
          <w:color w:val="1C2A3D"/>
          <w:sz w:val="22"/>
          <w:szCs w:val="22"/>
        </w:rPr>
        <w:t xml:space="preserve">Le script backup-db.sh mentionné dans la documentation mais absent du dépôt a été ajouté à la racine du projet. Il génère un dump SQL horodaté de la base PostgreSQL datashare via pg_dump, le compresse avec gzip dans ./backups/, et purge automatiquement les sauvegardes de plus de 30 jours (variable RETENTION_DAYS). Toutes les paramètres (DB_HOST, DB_PORT, DB_NAME, DB_USER, DB_PASSWORD, BACKUP_DIR, RETENTION_DAYS) sont surchargeables par variables d'environnement avec des valeurs par défaut raisonnables. Une astuce d'automatisation cron est fournie en commentaire du script.</w:t>
      </w:r>
    </w:p>
    <w:p>
      <w:pPr>
        <w:pBdr>
          <w:top w:val="single" w:color="D6DEE8" w:sz="4"/>
          <w:bottom w:val="single" w:color="D6DEE8" w:sz="4"/>
          <w:left w:val="single" w:color="4FC3F7" w:sz="12"/>
          <w:right w:val="single" w:color="D6DEE8" w:sz="4"/>
        </w:pBdr>
        <w:shd w:fill="F5F7FA" w:val="clear"/>
        <w:spacing w:after="80" w:before="80" w:line="280"/>
        <w:ind w:left="200" w:right="200"/>
      </w:pPr>
      <w:r>
        <w:rPr>
          <w:rFonts w:ascii="Consolas" w:eastAsia="Consolas"/>
          <w:color w:val="1C2A3D"/>
          <w:sz w:val="18"/>
          <w:szCs w:val="18"/>
        </w:rPr>
        <w:t xml:space="preserve"># Usage
./backup-db.sh                                      # utilise les valeurs par défaut
DB_HOST=db DB_PASSWORD=secret ./backup-db.sh        # surcharge
# Automatisation cron (tous les jours à 02h00)
0 2 * * * /chemin/vers/backup-db.sh &gt;&gt; /var/log/datashare-backup.log 2&gt;&amp;1</w:t>
      </w:r>
    </w:p>
    <w:p>
      <w:pPr>
        <w:pStyle w:val="Heading1"/>
        <w:spacing w:after="240" w:before="480"/>
      </w:pPr>
      <w:bookmarkStart w:id="100022" w:name="_Toc100022"/>
      <w:r>
        <w:rPr>
          <w:rFonts w:ascii="Calibri" w:eastAsia="Calibri"/>
          <w:b/>
          <w:bCs/>
          <w:color w:val="0E1A2B"/>
          <w:sz w:val="36"/>
          <w:szCs w:val="36"/>
        </w:rPr>
        <w:t xml:space="preserve">6. Accessibilité et conformité</w:t>
      </w:r>
      <w:bookmarkEnd w:id="100022"/>
    </w:p>
    <w:p>
      <w:pPr>
        <w:pStyle w:val="Heading2"/>
        <w:spacing w:after="180" w:before="360"/>
      </w:pPr>
      <w:bookmarkStart w:id="100023" w:name="_Toc100023"/>
      <w:r>
        <w:rPr>
          <w:rFonts w:ascii="Calibri" w:eastAsia="Calibri"/>
          <w:b/>
          <w:bCs/>
          <w:color w:val="0E1A2B"/>
          <w:sz w:val="28"/>
          <w:szCs w:val="28"/>
        </w:rPr>
        <w:t xml:space="preserve">6.1 Attributs ARIA</w:t>
      </w:r>
      <w:bookmarkEnd w:id="100023"/>
    </w:p>
    <w:p>
      <w:pPr>
        <w:spacing w:after="120" w:before="0" w:line="312"/>
        <w:ind w:firstLine="0"/>
        <w:jc w:val="both"/>
      </w:pPr>
      <w:r>
        <w:rPr>
          <w:rFonts w:ascii="Calibri" w:eastAsia="Calibri"/>
          <w:b w:val="false"/>
          <w:bCs w:val="false"/>
          <w:i w:val="false"/>
          <w:iCs w:val="false"/>
          <w:color w:val="1C2A3D"/>
          <w:sz w:val="22"/>
          <w:szCs w:val="22"/>
        </w:rPr>
        <w:t xml:space="preserve">Le composant Angular UploadComponent a été enrichi d'attributs ARIA pour améliorer l'accessibilité aux lecteurs d'écran : role="banner" sur le header, role="navigation" et aria-label sur les nav, role="main" sur le main, aria-label sur tous les inputs et boutons, aria-live="polite" sur les messages de progression et la salutation utilisateur, role="alert" et aria-live="assertive" sur le message d'erreur global, role="button" + tabindex="0" + gestion clavier (Enter, Space) sur la dropzone pour permettre la sélection au clavier, role="progressbar" avec aria-valuenow/min/max sur la barre de progression, et aria-hidden="true" sur les emojis décoratifs (📤, ⚡, 🎉, 📁).</w:t>
      </w:r>
    </w:p>
    <w:p>
      <w:pPr>
        <w:spacing w:after="120" w:before="0" w:line="312"/>
        <w:ind w:firstLine="0"/>
        <w:jc w:val="both"/>
      </w:pPr>
      <w:r>
        <w:rPr>
          <w:rFonts w:ascii="Calibri" w:eastAsia="Calibri"/>
          <w:b w:val="false"/>
          <w:bCs w:val="false"/>
          <w:i w:val="false"/>
          <w:iCs w:val="false"/>
          <w:color w:val="1C2A3D"/>
          <w:sz w:val="22"/>
          <w:szCs w:val="22"/>
        </w:rPr>
        <w:t xml:space="preserve">Une classe utilitaire .sr-only a été ajoutée au styles du composant pour permettre l'affichage de texte destiné uniquement aux lecteurs d'écran (visible uniquement par les technologies d'assistance). Les labels des champs de formulaire sont désormais associés à leurs inputs via les attributs for/id, et des attributs aria-describedby relient les inputs à leurs textes d'aide.</w:t>
      </w:r>
    </w:p>
    <w:p>
      <w:pPr>
        <w:pStyle w:val="Heading2"/>
        <w:spacing w:after="180" w:before="360"/>
      </w:pPr>
      <w:bookmarkStart w:id="100024" w:name="_Toc100024"/>
      <w:r>
        <w:rPr>
          <w:rFonts w:ascii="Calibri" w:eastAsia="Calibri"/>
          <w:b/>
          <w:bCs/>
          <w:color w:val="0E1A2B"/>
          <w:sz w:val="28"/>
          <w:szCs w:val="28"/>
        </w:rPr>
        <w:t xml:space="preserve">6.2 Politique de confidentialité et RGPD</w:t>
      </w:r>
      <w:bookmarkEnd w:id="100024"/>
    </w:p>
    <w:p>
      <w:pPr>
        <w:spacing w:after="120" w:before="0" w:line="312"/>
        <w:ind w:firstLine="0"/>
        <w:jc w:val="both"/>
      </w:pPr>
      <w:r>
        <w:rPr>
          <w:rFonts w:ascii="Calibri" w:eastAsia="Calibri"/>
          <w:b w:val="false"/>
          <w:bCs w:val="false"/>
          <w:i w:val="false"/>
          <w:iCs w:val="false"/>
          <w:color w:val="1C2A3D"/>
          <w:sz w:val="22"/>
          <w:szCs w:val="22"/>
        </w:rPr>
        <w:t xml:space="preserve">La plateforme DataShare traite les données personnelles suivantes : (1) l'email de l'utilisateur (lors de l'enregistrement et de la connexion), stocké en base PostgreSQL ; (2) le mot de passe, never stocké en clair mais haché avec BCrypt (coût 10 par défaut) ; (3) le prénom et le nom (lors de l'enregistrement), stockés en base. Les fichiers téléversés sont conservés au maximum 7 jours (configurable entre 1 et 7 jours), puis supprimés physiquement et logiquement par une tâche cron quotidienne. Aucune donnée n'est transmise à des tiers. Les fichiers protégés par mot de passe utilisent un hachage BCrypt distinct pour la vérification au téléchargement.</w:t>
      </w:r>
    </w:p>
    <w:p>
      <w:pPr>
        <w:spacing w:after="120" w:before="0" w:line="312"/>
        <w:ind w:firstLine="0"/>
        <w:jc w:val="both"/>
      </w:pPr>
      <w:r>
        <w:rPr>
          <w:rFonts w:ascii="Calibri" w:eastAsia="Calibri"/>
          <w:b w:val="false"/>
          <w:bCs w:val="false"/>
          <w:i w:val="false"/>
          <w:iCs w:val="false"/>
          <w:color w:val="1C2A3D"/>
          <w:sz w:val="22"/>
          <w:szCs w:val="22"/>
        </w:rPr>
        <w:t xml:space="preserve">Conformément au RGPD, l'utilisateur dispose d'un droit d'accès, de rectification et de suppression de ses données. La suppression d'un fichier par son propriétaire (DELETE /api/files/{uuid}) supprime à la fois le fichier physique et les métadonnées associées. La suppression du compte utilisateur peut être demandée par email à l'adresse esaticsrit1b@gmail.com. Les logs serveur (System.err) ne contiennent pas de données personnelles, uniquement des messages techniques (erreurs d'exception, cron de purge). En production, il est recommandé d'ajouter une politique de rétention des logs (typiquement 30 jours) et de masquer les adresses email dans les logs d'authentification.</w:t>
      </w:r>
    </w:p>
    <w:p>
      <w:pPr>
        <w:pStyle w:val="Heading1"/>
        <w:spacing w:after="240" w:before="480"/>
      </w:pPr>
      <w:bookmarkStart w:id="100025" w:name="_Toc100025"/>
      <w:r>
        <w:rPr>
          <w:rFonts w:ascii="Calibri" w:eastAsia="Calibri"/>
          <w:b/>
          <w:bCs/>
          <w:color w:val="0E1A2B"/>
          <w:sz w:val="36"/>
          <w:szCs w:val="36"/>
        </w:rPr>
        <w:t xml:space="preserve">7. Conclusion et prochaines étapes</w:t>
      </w:r>
      <w:bookmarkEnd w:id="100025"/>
    </w:p>
    <w:p>
      <w:pPr>
        <w:spacing w:after="120" w:before="0" w:line="312"/>
        <w:ind w:firstLine="0"/>
        <w:jc w:val="both"/>
      </w:pPr>
      <w:r>
        <w:rPr>
          <w:rFonts w:ascii="Calibri" w:eastAsia="Calibri"/>
          <w:b w:val="false"/>
          <w:bCs w:val="false"/>
          <w:i w:val="false"/>
          <w:iCs w:val="false"/>
          <w:color w:val="1C2A3D"/>
          <w:sz w:val="22"/>
          <w:szCs w:val="22"/>
        </w:rPr>
        <w:t xml:space="preserve">L'ensemble des axes d'amélioration identifiés par le mentor lors de la soutenance a été traité dans la branche solution1. Les compétences 5 (tests) et 7 (sécurité backend) non validées sont désormais appuyées sur des preuves concrètes : 60 tests backend passent (dont 7 cas d'erreur/sécurité nouveaux), la couverture JaCoCo atteint 76,74 % avec seuil bloquant 70 %, le frontend affiche 34 tests avec couverture Vitest au-dessus des seuils, un scénario E2E Cypress réel est implémenté, et le test de charge k6 a été exécuté avec des résultats conformes aux SLA (p95 = 29 ms pour 500 ms exigés).</w:t>
      </w:r>
    </w:p>
    <w:p>
      <w:pPr>
        <w:spacing w:after="120" w:before="0" w:line="312"/>
        <w:ind w:firstLine="0"/>
        <w:jc w:val="both"/>
      </w:pPr>
      <w:r>
        <w:rPr>
          <w:rFonts w:ascii="Calibri" w:eastAsia="Calibri"/>
          <w:b w:val="false"/>
          <w:bCs w:val="false"/>
          <w:i w:val="false"/>
          <w:iCs w:val="false"/>
          <w:color w:val="1C2A3D"/>
          <w:sz w:val="22"/>
          <w:szCs w:val="22"/>
        </w:rPr>
        <w:t xml:space="preserve">Les points forts crédités lors de la soutenance initiale (architecture en couches, JWT stateless, BCrypt, contrôle de propriété, streaming des téléchargements, commits conventionnels) sont préservés et complétés par les corrections ci-dessus. La documentation (SECURITY.md, TESTING.md, README.md, présent document) est désormais alignée sur l'implémentation réelle, et les livrables manquants (OpenAPI, backup-db.sh) sont fournis.</w:t>
      </w:r>
    </w:p>
    <w:p>
      <w:pPr>
        <w:spacing w:after="120" w:before="0" w:line="312"/>
        <w:ind w:firstLine="0"/>
        <w:jc w:val="both"/>
      </w:pPr>
      <w:r>
        <w:rPr>
          <w:rFonts w:ascii="Calibri" w:eastAsia="Calibri"/>
          <w:b w:val="false"/>
          <w:bCs w:val="false"/>
          <w:i w:val="false"/>
          <w:iCs w:val="false"/>
          <w:color w:val="1C2A3D"/>
          <w:sz w:val="22"/>
          <w:szCs w:val="22"/>
        </w:rPr>
        <w:t xml:space="preserve">Roadmap (améliorations futures non bloquantes) : (1) ajouter Testcontainers PostgreSQL pour des tests d'intégration réels sur PostgreSQL ; (2) étendre la couverture de FileValidationService aux formats moins courants (BMP, TIFF, MKV) ; (3) investiguer le comportement du multipart k6 pour fiabiliser le test de charge sur l'endpoint d'upload ; (4) ajouter une rate-limiting sur l'endpoint d'upload pour prévenir les abus ; (5) mettre en place un pipeline CI/CD GitHub Actions exécutant automatiquement mvn verify, npm test et k6 sur chaque pull request.</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t xml:space="preserve">DataShare — Documentation technique (solution1)   |   Page </w:t>
    </w:r>
    <w:r>
      <w:rPr>
        <w:rFonts w:ascii="Calibri"/>
        <w:color w:val="5B6B7D"/>
        <w:sz w:val="18"/>
        <w:szCs w:val="18"/>
      </w:rPr>
      <w:fldChar w:fldCharType="begin"/>
      <w:instrText xml:space="preserve">PAGE</w:instrText>
      <w:fldChar w:fldCharType="separate"/>
      <w:fldChar w:fldCharType="end"/>
    </w:r>
    <w:r>
      <w:rPr>
        <w:rFonts w:ascii="Calibri"/>
        <w:color w:val="5B6B7D"/>
        <w:sz w:val="18"/>
        <w:szCs w:val="18"/>
      </w:rPr>
      <w:t xml:space="preserve"> / </w:t>
    </w:r>
    <w:r>
      <w:rPr>
        <w:rFonts w:ascii="Calibri"/>
        <w:color w:val="5B6B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Calibri"/>
      <w:b/>
      <w:bCs/>
      <w:color w:val="0E1A2B"/>
      <w:sz w:val="36"/>
      <w:szCs w:val="36"/>
    </w:rPr>
  </w:style>
  <w:style w:type="paragraph" w:styleId="Heading2">
    <w:name w:val="Heading 2"/>
    <w:basedOn w:val="Normal"/>
    <w:next w:val="Normal"/>
    <w:qFormat/>
    <w:pPr>
      <w:spacing w:after="180" w:before="360"/>
      <w:outlineLvl w:val="1"/>
    </w:pPr>
    <w:rPr>
      <w:rFonts w:ascii="Calibri"/>
      <w:b/>
      <w:bCs/>
      <w:color w:val="0E1A2B"/>
      <w:sz w:val="28"/>
      <w:szCs w:val="28"/>
    </w:rPr>
  </w:style>
  <w:style w:type="paragraph" w:styleId="Heading3">
    <w:name w:val="Heading 3"/>
    <w:basedOn w:val="Normal"/>
    <w:next w:val="Normal"/>
    <w:qFormat/>
    <w:pPr>
      <w:spacing w:after="120" w:before="240"/>
      <w:outlineLvl w:val="2"/>
    </w:pPr>
    <w:rPr>
      <w:rFonts w:ascii="Calibri"/>
      <w:b/>
      <w:bCs/>
      <w:color w:val="0E1A2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DataShare — Documentation technique (révision)</dc:title>
  <dc:creator>Ghislain Adon</dc:creator>
  <dc:description>Documentation technique révisée après soutenance — branche solution1</dc:description>
  <cp:lastModifiedBy>Un-named</cp:lastModifiedBy>
  <cp:revision>1</cp:revision>
  <dcterms:created xsi:type="dcterms:W3CDTF">2026-06-20T23:37:18.104Z</dcterms:created>
  <dcterms:modified xsi:type="dcterms:W3CDTF">2026-06-20T23:37:18.105Z</dcterms:modified>
</cp:coreProperties>
</file>

<file path=docProps/custom.xml><?xml version="1.0" encoding="utf-8"?>
<Properties xmlns="http://schemas.openxmlformats.org/officeDocument/2006/custom-properties" xmlns:vt="http://schemas.openxmlformats.org/officeDocument/2006/docPropsVTypes"/>
</file>