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 xml:space="preserve">DICTIONNAIRE DE DONNÉES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Application de gestion des actifs informatiques – DGI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Ce document est établi à partir du modèle PowerDesigner source (Diagramme_de_classe_global.moo), et non plus d'une simple lecture visuelle du diagramme. Il recense, pour chaque entité : ses attributs (nom, type, description), ses méthodes, ainsi que les énumérations et les associations exactes reliant les entités entre elles, avec leurs cardinalités.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Remarque : le modèle source contient lui-même quelques coquilles (attributs ou types mal orthographiés), signalées au fil du document — elles devraient être corrigées avant l'implémentation. Trois classes (TransfertEquipement, AffectationEquipement, EquipementRecensement) sont des classes association portant le détail d'une relation many-to-many entre deux entités, et non des entités indépendantes. Le type TypeMouvement, utilisé par HistoriqueAction, n'existe nulle part dans le modèle fourni et reste à définir.</w:t>
      </w:r>
    </w:p>
    <w:p>
      <w:pPr>
        <w:pStyle w:val="Heading1"/>
        <w:spacing w:after="150" w:before="300"/>
      </w:pPr>
      <w:r>
        <w:t xml:space="preserve">1. Dictionnaire des entités et attributs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PlanningMaintenance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Planification des opérations de maintenance préventive/corrective sur le parc matériel.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idPlanning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du planning de maintenance.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datePrevue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à laquelle la maintenance est prévue.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periodicite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Fréquence de récurrence de la maintenance (ex. mensuelle, trimestrielle).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satut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StatutPlanning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 courant du planning. Coquille dans le modèle source : l'attribut est nommé « satut » au lieu de « statut ».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Détail ou commentaire libre sur le planning.</w:t>
            </w:r>
          </w:p>
        </w:tc>
      </w:tr>
    </w:tbl>
    <w:p>
      <w:pPr>
        <w:spacing w:after="20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Intervention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Intervention technique réalisée en lien avec une ou plusieurs pannes, préventive ou corrective.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idIntervention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de l'intervention.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dateDeclaration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de déclaration/ouverture de l'intervention.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typeIntervention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TypeIntervention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Nature de l'intervention (préventive ou corrective).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StatutIentervention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 courant de l'intervention. Coquille dans le modèle source : le type est nommé « StatutIentervention » au lieu de « StatutIntervention ».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 des travaux à réaliser ou réalisés.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19"/>
          <w:szCs w:val="19"/>
        </w:rPr>
        <w:t xml:space="preserve">Méthodes Intervention : </w:t>
      </w:r>
      <w:r>
        <w:rPr>
          <w:sz w:val="19"/>
          <w:szCs w:val="19"/>
        </w:rPr>
        <w:t xml:space="preserve">enregistrer() : void ; cloturer() : void ; consulter() : void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Panne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Anomalie ou dysfonctionnement signalé sur un équipement, à l'origine d'une ou plusieurs interventions.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idPanne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de la panne.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 de la panne constatée.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dateDeclaration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à laquelle la panne a été signalée.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statutPanne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StatutPanne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 courant de la panne.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19"/>
          <w:szCs w:val="19"/>
        </w:rPr>
        <w:t xml:space="preserve">Méthodes Panne : </w:t>
      </w:r>
      <w:r>
        <w:rPr>
          <w:sz w:val="19"/>
          <w:szCs w:val="19"/>
        </w:rPr>
        <w:t xml:space="preserve">signaler() : void ; enregistrer() : void ; consulter() : void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Transfert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Mouvement d'un ou plusieurs équipements entre un service d'origine et un service destinataire.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idTransfert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du transfert.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dateTransfert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de réalisation du transfert.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StatutTransfert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 courant du transfert.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19"/>
          <w:szCs w:val="19"/>
        </w:rPr>
        <w:t xml:space="preserve">Méthodes Transfert : </w:t>
      </w:r>
      <w:r>
        <w:rPr>
          <w:sz w:val="19"/>
          <w:szCs w:val="19"/>
        </w:rPr>
        <w:t xml:space="preserve">consulter() : int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TransfertEquipement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Classe association de la relation Transfert ↔ Equipement (1..*/1..*) : détaille chaque équipement inclus dans un transfert donné.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idTransfertEquip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de la ligne de transfert d'équipement.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Remarque libre sur l'état de l'équipement au moment du transfert.</w:t>
            </w:r>
          </w:p>
        </w:tc>
      </w:tr>
    </w:tbl>
    <w:p>
      <w:pPr>
        <w:spacing w:after="20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Bordereau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Document officiel justifiant une opération d'affectation ou de transfert d'équipement(s), émis/validé par un utilisateur.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idDocument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du bordereau.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numero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Numéro de référence du bordereau.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dateEmission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d'émission du bordereau.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typeBordereau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TypeBordereau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Nature du bordereau (affectation ou transfert).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statutValidation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StaturBordereau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 de validation du bordereau. Coquille dans le modèle source : le type est nommé « StaturBordereau » au lieu de « StatutBordereau ».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dateValidation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à laquelle le bordereau a été validé.</w:t>
            </w:r>
          </w:p>
        </w:tc>
      </w:tr>
    </w:tbl>
    <w:p>
      <w:pPr>
        <w:spacing w:after="20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Agent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Personne physique (agent de la DGI) rattachée à un service, pouvant réaliser des affectations d'équipement.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idAgent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de l'agent.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 de famille de l'agent.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prenom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Prénom de l'agent.</w:t>
            </w:r>
          </w:p>
        </w:tc>
      </w:tr>
    </w:tbl>
    <w:p>
      <w:pPr>
        <w:spacing w:after="20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Service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Structure/direction de la DGI à laquelle sont rattachés des agents ; peut être origine ou destinataire d'un transfert.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idService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du service.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nomService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Libellé du service.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chefService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 du responsable du service.</w:t>
            </w:r>
          </w:p>
        </w:tc>
      </w:tr>
    </w:tbl>
    <w:p>
      <w:pPr>
        <w:spacing w:after="20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Equipement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Bien informatique ou matériel géré par l'application (entité centrale du système).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idMateriel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de l'équipement.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codeIventaire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d'inventaire interne de l'équipement. Coquille dans le modèle source : nommé « codeIventaire » au lieu de « codeInventaire ».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Désignation/nom de l'équipement.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marque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Marque du fabricant.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Modèle de l'équipement.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numeroSerie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Numéro de série unique du fabricant.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dateAcquisition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d'acquisition de l'équipement.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valeurAcquisition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Double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Valeur financière d'acquisition.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EtatMateriel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 courant du matériel.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codeBarre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Code-barres associé à l'équipement pour identification rapide.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19"/>
          <w:szCs w:val="19"/>
        </w:rPr>
        <w:t xml:space="preserve">Méthodes Equipement : </w:t>
      </w:r>
      <w:r>
        <w:rPr>
          <w:sz w:val="19"/>
          <w:szCs w:val="19"/>
        </w:rPr>
        <w:t xml:space="preserve">enregistrer() : void ; modifier() : void ; archiver() : void ; consulter() : void ; rechercher() : void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CategorieMateriel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Classification des équipements par catégorie (ex. ordinateurs, imprimantes, réseau…).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idCtegorie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de la catégorie. Coquille dans le modèle source : nommé « idCtegorie » au lieu de « idCategorie ».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libelle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Libellé de la catégorie.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 de la catégorie.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19"/>
          <w:szCs w:val="19"/>
        </w:rPr>
        <w:t xml:space="preserve">Méthodes CategorieMateriel : </w:t>
      </w:r>
      <w:r>
        <w:rPr>
          <w:sz w:val="19"/>
          <w:szCs w:val="19"/>
        </w:rPr>
        <w:t xml:space="preserve">ajouter() : void ; modifier() : void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Affectation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Attribution d'un ou plusieurs équipements, réalisée par un agent, justifiée par un bordereau.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idAffectation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de l'affectation.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dateAffectation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à laquelle l'affectation prend effet.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motif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Raison de l'affectation.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19"/>
          <w:szCs w:val="19"/>
        </w:rPr>
        <w:t xml:space="preserve">Méthodes Affectation : </w:t>
      </w:r>
      <w:r>
        <w:rPr>
          <w:sz w:val="19"/>
          <w:szCs w:val="19"/>
        </w:rPr>
        <w:t xml:space="preserve">enregistrer() : void ; consulter() : void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AffectationEquipement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Classe association de la relation Affectation ↔ Equipement (1..*/1..*) : détaille chaque équipement inclus dans une affectation donnée.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idAffectEquip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de la ligne d'affectation d'équipement.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Remarque libre sur l'affectation de cet équipement.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StatutAffectation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 courant de cette ligne d'affectation.</w:t>
            </w:r>
          </w:p>
        </w:tc>
      </w:tr>
    </w:tbl>
    <w:p>
      <w:pPr>
        <w:spacing w:after="20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Utilisateur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Compte d'accès à l'application (authentification), à l'origine des bordereaux et des actions tracées dans l'historique.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idUtilisateur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de l'utilisateur.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 de famille de l'utilisateur.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prenom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Prénom de l'utilisateur.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de connexion.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motDePAsse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 de passe (à stocker sous forme hachée). Casse inhabituelle dans le modèle source : « motDePAsse ».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Adresse électronique.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telephone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Numéro de téléphone.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matricule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Matricule administratif de l'utilisateur.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StatutUtilisateur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 courant du compte utilisateur.</w:t>
            </w:r>
          </w:p>
        </w:tc>
      </w:tr>
    </w:tbl>
    <w:p>
      <w:pPr>
        <w:spacing w:after="20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HistoriqueAction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Journal des actions (traçabilité) réalisées par un utilisateur sur les données de l'application.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idHistorique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de l'entrée d'historique.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dateAction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et heure de l'action.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typeAction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TypeMouvement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Nature de l'action effectuée. Ce type est utilisé comme type d'attribut mais n'existe comme classe/énumération nulle part dans le modèle source : à créer (ex. CREATION, MODIFICATION, SUPPRESSION).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ancienneValeur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Valeur du champ avant modification.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nouvelleValeur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Valeur du champ après modification.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19"/>
          <w:szCs w:val="19"/>
        </w:rPr>
        <w:t xml:space="preserve">Méthodes HistoriqueAction : </w:t>
      </w:r>
      <w:r>
        <w:rPr>
          <w:sz w:val="19"/>
          <w:szCs w:val="19"/>
        </w:rPr>
        <w:t xml:space="preserve">consulter() : void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Recensement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Campagne d'inventaire physique du parc d'équipements, sur une période donnée.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idRecensement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du recensement.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dateDebut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de début de la campagne.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dateFin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de fin de la campagne.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StatutRecensement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 courant du recensement.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19"/>
          <w:szCs w:val="19"/>
        </w:rPr>
        <w:t xml:space="preserve">Méthodes Recensement : </w:t>
      </w:r>
      <w:r>
        <w:rPr>
          <w:sz w:val="19"/>
          <w:szCs w:val="19"/>
        </w:rPr>
        <w:t xml:space="preserve">palnifier() : void — coquille dans le modèle source pour « planifier » ; cloturer() : void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EquipementRecensement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Classe association de la relation Equipement ↔ Recensement (1..*/1..*) : détaille le constat physique de chaque équipement lors d'un recensement donné.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idEquipRecense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du constat de recensement.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etatConstate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EtatMateriel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 du matériel constaté physiquement lors du recensement.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dateConstat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du constat.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emplacementConstate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Emplacement où l'équipement a été retrouvé.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anomalieConstatee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Indique si une anomalie a été relevée (écart avec les données du système).</w:t>
            </w:r>
          </w:p>
        </w:tc>
      </w:tr>
    </w:tbl>
    <w:p>
      <w:pPr>
        <w:spacing w:after="20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Inventaire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Import d'un fichier d'inventaire externe, utilisé comme référentiel de comparaison pour un ou plusieurs équipements.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idImport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 de l'import.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nomFichier</w:t>
            </w:r>
          </w:p>
        </w:tc>
        <w:tc>
          <w:tcPr>
            <w:tcW w:type="dxa" w:w="17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 du fichier importé.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dateImport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de l'import.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19"/>
          <w:szCs w:val="19"/>
        </w:rPr>
        <w:t xml:space="preserve">Méthodes Inventaire : </w:t>
      </w:r>
      <w:r>
        <w:rPr>
          <w:sz w:val="19"/>
          <w:szCs w:val="19"/>
        </w:rPr>
        <w:t xml:space="preserve">consulter() : void</w:t>
      </w:r>
    </w:p>
    <w:p>
      <w:pPr>
        <w:pStyle w:val="Heading1"/>
        <w:spacing w:after="150" w:before="300"/>
      </w:pPr>
      <w:r>
        <w:t xml:space="preserve">2. Types de données utilisés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4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/ usage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Nombre entier, utilisé principalement pour les identifiants techniques (clés primaires).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74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Chaîne de caractères (texte libre ou codifié).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7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calendaire (jour/mois/année), avec ou sans heure selon l'usage.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Double</w:t>
            </w:r>
          </w:p>
        </w:tc>
        <w:tc>
          <w:tcPr>
            <w:tcW w:type="dxa" w:w="74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Nombre décimal, utilisé pour les valeurs monétaires (ex. valeur d'acquisition).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7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Valeur booléenne vrai/faux.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EnumConstant</w:t>
            </w:r>
          </w:p>
        </w:tc>
        <w:tc>
          <w:tcPr>
            <w:tcW w:type="dxa" w:w="74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Valeur constante d'une énumération (voir section 3).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3. Énumérations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0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Énumération</w:t>
            </w:r>
          </w:p>
        </w:tc>
        <w:tc>
          <w:tcPr>
            <w:tcW w:type="dxa" w:w="4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Valeurs</w:t>
            </w:r>
          </w:p>
        </w:tc>
        <w:tc>
          <w:tcPr>
            <w:tcW w:type="dxa" w:w="3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StatutPlanning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PLANIFIER, EN_COURS, TERMINER, ANNULER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États possibles d'un planning de maintenance.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TypeIntervention</w:t>
            </w:r>
          </w:p>
        </w:tc>
        <w:tc>
          <w:tcPr>
            <w:tcW w:type="dxa" w:w="4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PREVENTIVE, CORRECTIVE</w:t>
            </w:r>
          </w:p>
        </w:tc>
        <w:tc>
          <w:tcPr>
            <w:tcW w:type="dxa" w:w="3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Nature d'une intervention.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StatutIentervention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EN_COURS, CLOTURER, ANNULER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États possibles d'une intervention (nom de type tel qu'orthographié dans le modèle source, avec coquille).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StatutPanne</w:t>
            </w:r>
          </w:p>
        </w:tc>
        <w:tc>
          <w:tcPr>
            <w:tcW w:type="dxa" w:w="4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SIGNALEE, EN_COURS, RESOLUE</w:t>
            </w:r>
          </w:p>
        </w:tc>
        <w:tc>
          <w:tcPr>
            <w:tcW w:type="dxa" w:w="3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États possibles d'une panne.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TypeBordereau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AFFECTATION, TRANSFERT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Nature d'un bordereau.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StatutBordereau</w:t>
            </w:r>
          </w:p>
        </w:tc>
        <w:tc>
          <w:tcPr>
            <w:tcW w:type="dxa" w:w="4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EN_ATTENTE, VAlLIDE, REJETE</w:t>
            </w:r>
          </w:p>
        </w:tc>
        <w:tc>
          <w:tcPr>
            <w:tcW w:type="dxa" w:w="3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États possibles de validation d'un bordereau (« VAlLIDE » orthographié ainsi dans le modèle source, coquille probable pour « VALIDE »).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StatutTransfert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EN_COURS, VALIDE, REJETE, CLOTURE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États possibles d'un transfert.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EtatMateriel</w:t>
            </w:r>
          </w:p>
        </w:tc>
        <w:tc>
          <w:tcPr>
            <w:tcW w:type="dxa" w:w="4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NEUF, EN_SERVICE, EN_PANNE, EN_MAINTENANCE, REFORME</w:t>
            </w:r>
          </w:p>
        </w:tc>
        <w:tc>
          <w:tcPr>
            <w:tcW w:type="dxa" w:w="3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 physique/fonctionnel d'un équipement.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StatutAffectation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ACTIVE, CLOTUREE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États possibles d'une ligne d'affectation d'équipement.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StatutUtilisateur</w:t>
            </w:r>
          </w:p>
        </w:tc>
        <w:tc>
          <w:tcPr>
            <w:tcW w:type="dxa" w:w="4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ACTIF, INACTIF, VERROUILLE</w:t>
            </w:r>
          </w:p>
        </w:tc>
        <w:tc>
          <w:tcPr>
            <w:tcW w:type="dxa" w:w="3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États possibles d'un compte utilisateur.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StatutRecensement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PLANIFIER, EN_COURS, CLOTURER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États possibles d'un recensement.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TypeMouvement</w:t>
            </w:r>
          </w:p>
        </w:tc>
        <w:tc>
          <w:tcPr>
            <w:tcW w:type="dxa" w:w="4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(absent du modèle source)</w:t>
            </w:r>
          </w:p>
        </w:tc>
        <w:tc>
          <w:tcPr>
            <w:tcW w:type="dxa" w:w="3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Référencée par HistoriqueAction.typeAction, mais aucune classe/énumération de ce nom n'existe dans le fichier fourni : à définir (ex. CREATION, MODIFICATION, SUPPRESSION).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4. Relations entre entités (issues du modèle source)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50"/>
        <w:gridCol w:w="2150"/>
        <w:gridCol w:w="850"/>
        <w:gridCol w:w="3650"/>
      </w:tblGrid>
      <w:tr>
        <w:trPr>
          <w:tblHeader/>
        </w:trP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Entité A</w:t>
            </w:r>
          </w:p>
        </w:tc>
        <w:tc>
          <w:tcPr>
            <w:tcW w:type="dxa" w:w="85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Card. A</w:t>
            </w:r>
          </w:p>
        </w:tc>
        <w:tc>
          <w:tcPr>
            <w:tcW w:type="dxa" w:w="215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Entité B</w:t>
            </w:r>
          </w:p>
        </w:tc>
        <w:tc>
          <w:tcPr>
            <w:tcW w:type="dxa" w:w="85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Card. B</w:t>
            </w:r>
          </w:p>
        </w:tc>
        <w:tc>
          <w:tcPr>
            <w:tcW w:type="dxa" w:w="365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PlanningMaintenance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2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Intervention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36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planning de maintenance encadre une ou plusieurs interventions (association many-to-many).</w:t>
            </w:r>
          </w:p>
        </w:tc>
      </w:tr>
      <w:tr>
        <w:tc>
          <w:tcPr>
            <w:tcW w:type="dxa" w:w="21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Intervention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21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Panne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36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Une intervention est réalisée en lien avec une ou plusieurs pannes.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Panne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0..*</w:t>
            </w:r>
          </w:p>
        </w:tc>
        <w:tc>
          <w:tcPr>
            <w:tcW w:type="dxa" w:w="2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Equipement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36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Une panne est signalée sur un équipement ; un équipement peut avoir plusieurs pannes.</w:t>
            </w:r>
          </w:p>
        </w:tc>
      </w:tr>
      <w:tr>
        <w:tc>
          <w:tcPr>
            <w:tcW w:type="dxa" w:w="21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Transfert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21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Equipement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36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transfert porte sur un ou plusieurs équipements. Classe association : TransfertEquipement.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Transfert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2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 (Origine)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36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transfert part d'un service d'origine.</w:t>
            </w:r>
          </w:p>
        </w:tc>
      </w:tr>
      <w:tr>
        <w:tc>
          <w:tcPr>
            <w:tcW w:type="dxa" w:w="21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Transfert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21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 (Destinataire)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36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transfert arrive vers un service destinataire.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Bordereau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2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Transfert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36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bordereau de type « transfert » justifie un transfert.</w:t>
            </w:r>
          </w:p>
        </w:tc>
      </w:tr>
      <w:tr>
        <w:tc>
          <w:tcPr>
            <w:tcW w:type="dxa" w:w="21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Bordereau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21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Affectation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36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bordereau de type « affectation » justifie une affectation.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Bordereau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0..*</w:t>
            </w:r>
          </w:p>
        </w:tc>
        <w:tc>
          <w:tcPr>
            <w:tcW w:type="dxa" w:w="2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Utilisateur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36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utilisateur (compte de l'application) émet/valide un ou plusieurs bordereaux.</w:t>
            </w:r>
          </w:p>
        </w:tc>
      </w:tr>
      <w:tr>
        <w:tc>
          <w:tcPr>
            <w:tcW w:type="dxa" w:w="21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21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36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agent est rattaché à un service ; un service compte plusieurs agents.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2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Affectation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36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agent réalise une ou plusieurs affectations d'équipement.</w:t>
            </w:r>
          </w:p>
        </w:tc>
      </w:tr>
      <w:tr>
        <w:tc>
          <w:tcPr>
            <w:tcW w:type="dxa" w:w="21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Affectation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21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Equipement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36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Une affectation porte sur un ou plusieurs équipements. Classe association : AffectationEquipement.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Utilisateur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2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HistoriqueAction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36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Chaque action tracée est rattachée à l'utilisateur qui l'a effectuée.</w:t>
            </w:r>
          </w:p>
        </w:tc>
      </w:tr>
      <w:tr>
        <w:tc>
          <w:tcPr>
            <w:tcW w:type="dxa" w:w="21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Equipement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0..*</w:t>
            </w:r>
          </w:p>
        </w:tc>
        <w:tc>
          <w:tcPr>
            <w:tcW w:type="dxa" w:w="21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CategorieMateriel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1..1</w:t>
            </w:r>
          </w:p>
        </w:tc>
        <w:tc>
          <w:tcPr>
            <w:tcW w:type="dxa" w:w="36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Chaque équipement appartient à une catégorie de matériel.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Equipement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2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Recensement</w:t>
            </w:r>
          </w:p>
        </w:tc>
        <w:tc>
          <w:tcPr>
            <w:tcW w:type="dxa" w:w="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36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recensement porte sur un ou plusieurs équipements. Classe association : EquipementRecensement.</w:t>
            </w:r>
          </w:p>
        </w:tc>
      </w:tr>
      <w:tr>
        <w:tc>
          <w:tcPr>
            <w:tcW w:type="dxa" w:w="21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Equipement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1..*</w:t>
            </w:r>
          </w:p>
        </w:tc>
        <w:tc>
          <w:tcPr>
            <w:tcW w:type="dxa" w:w="21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Inventaire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0..1</w:t>
            </w:r>
          </w:p>
        </w:tc>
        <w:tc>
          <w:tcPr>
            <w:tcW w:type="dxa" w:w="365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fichier d'inventaire importé peut référencer plusieurs équipements ; un équipement se rattache à 0 ou 1 import.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2026-09-09T18:28:25.775Z</dcterms:created>
  <dcterms:modified xsi:type="dcterms:W3CDTF">2026-09-09T18:28:25.793Z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