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so" ContentType="application/octet-stream"/>
  <Override PartName="/word/media/rId36.so" ContentType="application/octet-stream"/>
  <Override PartName="/word/media/rId20.so" ContentType="application/octet-stream"/>
  <Override PartName="/word/media/rId42.so" ContentType="application/octet-stream"/>
  <Override PartName="/word/media/rId33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доклад</w:t>
      </w:r>
    </w:p>
    <w:p>
      <w:pPr>
        <w:pStyle w:val="Subtitle"/>
      </w:pPr>
      <w:r>
        <w:t xml:space="preserve">Игры чистой кооперации</w:t>
      </w:r>
    </w:p>
    <w:p>
      <w:pPr>
        <w:pStyle w:val="Author"/>
      </w:pPr>
      <w:r>
        <w:t xml:space="preserve">Tуем Гислен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3" w:name="введение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Игры чистой кооперации представляют собой фундаментальный класс моделей в теории игр, где успех каждого игрока напрямую зависит от согласованных действий всех участников. В отличие от конкурентных игр, где выигрыш одного игрока означает проигрыш другого, кооперативные игры фокусируются на ситуациях, в которых взаимовыгодное сотрудничество возможно, но не гарантировано.</w:t>
      </w:r>
    </w:p>
    <w:p>
      <w:pPr>
        <w:pStyle w:val="CaptionedFigure"/>
      </w:pPr>
      <w:r>
        <w:drawing>
          <wp:inline>
            <wp:extent cx="4267200" cy="3186993"/>
            <wp:effectExtent b="0" l="0" r="0" t="0"/>
            <wp:docPr descr="Кооперация vs. Конкуренция" title="" id="21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presentation/report/image/5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8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Кооперация vs. Конкуренция</w:t>
      </w:r>
    </w:p>
    <w:p>
      <w:pPr>
        <w:pStyle w:val="BodyText"/>
      </w:pPr>
      <w:r>
        <w:t xml:space="preserve">Цель — детально разобрать структуру игр чистой кооперации, проанализировать их равновесия, рассмотреть динамические аспекты и продемонстрировать их применение в различных областях.</w:t>
      </w:r>
    </w:p>
    <w:p>
      <w:r>
        <w:pict>
          <v:rect style="width:0;height:1.5pt" o:hralign="center" o:hrstd="t" o:hr="t"/>
        </w:pict>
      </w:r>
    </w:p>
    <w:bookmarkEnd w:id="23"/>
    <w:bookmarkStart w:id="30" w:name="теоретические-основы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Теоретические основы</w:t>
      </w:r>
    </w:p>
    <w:bookmarkStart w:id="24" w:name="определение-и-формальная-модель"/>
    <w:p>
      <w:pPr>
        <w:pStyle w:val="Heading3"/>
      </w:pPr>
      <w:r>
        <w:rPr>
          <w:rStyle w:val="SectionNumber"/>
        </w:rPr>
        <w:t xml:space="preserve">0.2.1</w:t>
      </w:r>
      <w:r>
        <w:tab/>
      </w:r>
      <w:r>
        <w:t xml:space="preserve">Определение и формальная модель</w:t>
      </w:r>
    </w:p>
    <w:p>
      <w:pPr>
        <w:pStyle w:val="FirstParagraph"/>
      </w:pPr>
      <w:r>
        <w:t xml:space="preserve">Игра чистой кооперации — это некооперативная игра с несколькими равновесиями Нэша, в которых игроки выбирают</w:t>
      </w:r>
      <w:r>
        <w:t xml:space="preserve"> </w:t>
      </w:r>
      <w:r>
        <w:rPr>
          <w:b/>
          <w:bCs/>
        </w:rPr>
        <w:t xml:space="preserve">соответствующие</w:t>
      </w:r>
      <w:r>
        <w:t xml:space="preserve"> </w:t>
      </w:r>
      <w:r>
        <w:t xml:space="preserve">стратегии.</w:t>
      </w:r>
    </w:p>
    <w:p>
      <w:pPr>
        <w:pStyle w:val="BodyText"/>
      </w:pPr>
      <w:r>
        <w:rPr>
          <w:b/>
          <w:bCs/>
        </w:rPr>
        <w:t xml:space="preserve">Формальная постановка</w:t>
      </w:r>
      <w:r>
        <w:t xml:space="preserve">:</w:t>
      </w:r>
      <w:r>
        <w:br/>
      </w:r>
      <w:r>
        <w:t xml:space="preserve">- Два игрока: Игрок 1 и Игрок 2.</w:t>
      </w:r>
      <w:r>
        <w:br/>
      </w:r>
      <w:r>
        <w:t xml:space="preserve">- У каждого две стратегии:</w:t>
      </w:r>
      <w:r>
        <w:t xml:space="preserve"> </w:t>
      </w:r>
      <w:r>
        <w:rPr>
          <w:b/>
          <w:bCs/>
        </w:rPr>
        <w:t xml:space="preserve">C (Сотрудничать)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F (Отказаться от сотрудничества)</w:t>
      </w:r>
      <w:r>
        <w:t xml:space="preserve">.</w:t>
      </w:r>
      <w:r>
        <w:br/>
      </w:r>
      <w:r>
        <w:t xml:space="preserve">- Выигрыши задаются матрицей: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Игрок 2: C</w:t>
            </w:r>
          </w:p>
        </w:tc>
        <w:tc>
          <w:tcPr/>
          <w:p>
            <w:pPr>
              <w:pStyle w:val="Compact"/>
            </w:pPr>
            <w:r>
              <w:t xml:space="preserve">Игрок 2: F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Игрок 1: C</w:t>
            </w:r>
          </w:p>
        </w:tc>
        <w:tc>
          <w:tcPr/>
          <w:p>
            <w:pPr>
              <w:pStyle w:val="Compact"/>
            </w:pPr>
            <w:r>
              <w:t xml:space="preserve">(a, a)</w:t>
            </w:r>
          </w:p>
        </w:tc>
        <w:tc>
          <w:tcPr/>
          <w:p>
            <w:pPr>
              <w:pStyle w:val="Compact"/>
            </w:pPr>
            <w:r>
              <w:t xml:space="preserve">(0, 0)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Игрок 1: F</w:t>
            </w:r>
          </w:p>
        </w:tc>
        <w:tc>
          <w:tcPr/>
          <w:p>
            <w:pPr>
              <w:pStyle w:val="Compact"/>
            </w:pPr>
            <w:r>
              <w:t xml:space="preserve">(0, 0)</w:t>
            </w:r>
          </w:p>
        </w:tc>
        <w:tc>
          <w:tcPr/>
          <w:p>
            <w:pPr>
              <w:pStyle w:val="Compact"/>
            </w:pPr>
            <w:r>
              <w:t xml:space="preserve">(1, 1)</w:t>
            </w:r>
          </w:p>
        </w:tc>
      </w:tr>
    </w:tbl>
    <w:bookmarkEnd w:id="24"/>
    <w:bookmarkStart w:id="28" w:name="интерпретация-параметров"/>
    <w:p>
      <w:pPr>
        <w:pStyle w:val="Heading3"/>
      </w:pPr>
      <w:r>
        <w:rPr>
          <w:rStyle w:val="SectionNumber"/>
        </w:rPr>
        <w:t xml:space="preserve">0.2.2</w:t>
      </w:r>
      <w:r>
        <w:tab/>
      </w:r>
      <w:r>
        <w:t xml:space="preserve">Интерпретация параметров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 = 1</w:t>
      </w:r>
      <w:r>
        <w:t xml:space="preserve">: Классическая игра чистой кооперации.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 &gt; 1</w:t>
      </w:r>
      <w:r>
        <w:t xml:space="preserve">: Усиленная кооперация (например, дополнительная выгода от совместных действий).</w:t>
      </w:r>
    </w:p>
    <w:p>
      <w:pPr>
        <w:pStyle w:val="CaptionedFigure"/>
      </w:pPr>
      <w:r>
        <w:drawing>
          <wp:inline>
            <wp:extent cx="4267200" cy="2794578"/>
            <wp:effectExtent b="0" l="0" r="0" t="0"/>
            <wp:docPr descr="Матрица выигрышей" title="" id="26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presentation/report/image/1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9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выигрышей</w:t>
      </w:r>
    </w:p>
    <w:bookmarkEnd w:id="28"/>
    <w:bookmarkStart w:id="29" w:name="условия-кооперации"/>
    <w:p>
      <w:pPr>
        <w:pStyle w:val="Heading3"/>
      </w:pPr>
      <w:r>
        <w:rPr>
          <w:rStyle w:val="SectionNumber"/>
        </w:rPr>
        <w:t xml:space="preserve">0.2.3</w:t>
      </w:r>
      <w:r>
        <w:tab/>
      </w:r>
      <w:r>
        <w:t xml:space="preserve">Условия кооперации</w:t>
      </w:r>
    </w:p>
    <w:p>
      <w:pPr>
        <w:pStyle w:val="FirstParagraph"/>
      </w:pPr>
      <w:r>
        <w:t xml:space="preserve">Для устойчивой кооперации необходимо:</w:t>
      </w:r>
      <w:r>
        <w:br/>
      </w:r>
      <w:r>
        <w:t xml:space="preserve">1.</w:t>
      </w:r>
      <w:r>
        <w:t xml:space="preserve"> </w:t>
      </w:r>
      <w:r>
        <w:rPr>
          <w:b/>
          <w:bCs/>
        </w:rPr>
        <w:t xml:space="preserve">Взаимность</w:t>
      </w:r>
      <w:r>
        <w:t xml:space="preserve">: Оба игрока должны выбрать</w:t>
      </w:r>
      <w:r>
        <w:t xml:space="preserve"> </w:t>
      </w:r>
      <w:r>
        <w:rPr>
          <w:b/>
          <w:bCs/>
        </w:rPr>
        <w:t xml:space="preserve">C</w:t>
      </w:r>
      <w:r>
        <w:t xml:space="preserve">.</w:t>
      </w:r>
      <w:r>
        <w:br/>
      </w:r>
      <w:r>
        <w:t xml:space="preserve">2.</w:t>
      </w:r>
      <w:r>
        <w:t xml:space="preserve"> </w:t>
      </w:r>
      <w:r>
        <w:rPr>
          <w:b/>
          <w:bCs/>
        </w:rPr>
        <w:t xml:space="preserve">Доверие</w:t>
      </w:r>
      <w:r>
        <w:t xml:space="preserve">: Отсутствие стимулов для отклонения.</w:t>
      </w:r>
      <w:r>
        <w:br/>
      </w:r>
      <w:r>
        <w:t xml:space="preserve">3.</w:t>
      </w:r>
      <w:r>
        <w:t xml:space="preserve"> </w:t>
      </w:r>
      <w:r>
        <w:rPr>
          <w:b/>
          <w:bCs/>
        </w:rPr>
        <w:t xml:space="preserve">Координация</w:t>
      </w:r>
      <w:r>
        <w:t xml:space="preserve">: Механизм выбора между</w:t>
      </w:r>
      <w:r>
        <w:t xml:space="preserve"> </w:t>
      </w:r>
      <w:r>
        <w:rPr>
          <w:b/>
          <w:bCs/>
        </w:rPr>
        <w:t xml:space="preserve">(C, C)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(F, F)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9"/>
    <w:bookmarkEnd w:id="30"/>
    <w:bookmarkStart w:id="40" w:name="анализ-равновесий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Анализ равновесий</w:t>
      </w:r>
    </w:p>
    <w:bookmarkStart w:id="31" w:name="равновесие-нэша"/>
    <w:p>
      <w:pPr>
        <w:pStyle w:val="Heading3"/>
      </w:pPr>
      <w:r>
        <w:rPr>
          <w:rStyle w:val="SectionNumber"/>
        </w:rPr>
        <w:t xml:space="preserve">0.3.1</w:t>
      </w:r>
      <w:r>
        <w:tab/>
      </w:r>
      <w:r>
        <w:t xml:space="preserve">Равновесие Нэша</w:t>
      </w:r>
    </w:p>
    <w:p>
      <w:pPr>
        <w:pStyle w:val="FirstParagraph"/>
      </w:pPr>
      <w:r>
        <w:t xml:space="preserve">В игре существуют два равновесия:</w:t>
      </w:r>
      <w:r>
        <w:br/>
      </w:r>
      <w:r>
        <w:t xml:space="preserve">1.</w:t>
      </w:r>
      <w:r>
        <w:t xml:space="preserve"> </w:t>
      </w:r>
      <w:r>
        <w:rPr>
          <w:b/>
          <w:bCs/>
        </w:rPr>
        <w:t xml:space="preserve">(C, C)</w:t>
      </w:r>
      <w:r>
        <w:t xml:space="preserve">: Оба сотрудничают → выигрыш (a, a).</w:t>
      </w:r>
      <w:r>
        <w:br/>
      </w:r>
      <w:r>
        <w:t xml:space="preserve">2.</w:t>
      </w:r>
      <w:r>
        <w:t xml:space="preserve"> </w:t>
      </w:r>
      <w:r>
        <w:rPr>
          <w:b/>
          <w:bCs/>
        </w:rPr>
        <w:t xml:space="preserve">(F, F)</w:t>
      </w:r>
      <w:r>
        <w:t xml:space="preserve">: Оба отказываются → выигрыш (1, 1).</w:t>
      </w:r>
    </w:p>
    <w:p>
      <w:pPr>
        <w:pStyle w:val="BodyText"/>
      </w:pPr>
      <w:r>
        <w:rPr>
          <w:b/>
          <w:bCs/>
        </w:rPr>
        <w:t xml:space="preserve">Почему это равновесия?</w:t>
      </w:r>
      <w:r>
        <w:br/>
      </w:r>
      <w:r>
        <w:t xml:space="preserve">- Если один игрок выбирает</w:t>
      </w:r>
      <w:r>
        <w:t xml:space="preserve"> </w:t>
      </w:r>
      <w:r>
        <w:rPr>
          <w:b/>
          <w:bCs/>
        </w:rPr>
        <w:t xml:space="preserve">C</w:t>
      </w:r>
      <w:r>
        <w:t xml:space="preserve">, второму выгодно тоже выбрать</w:t>
      </w:r>
      <w:r>
        <w:t xml:space="preserve"> </w:t>
      </w:r>
      <w:r>
        <w:rPr>
          <w:b/>
          <w:bCs/>
        </w:rPr>
        <w:t xml:space="preserve">C</w:t>
      </w:r>
      <w:r>
        <w:t xml:space="preserve"> </w:t>
      </w:r>
      <w:r>
        <w:t xml:space="preserve">(иначе 0).</w:t>
      </w:r>
      <w:r>
        <w:br/>
      </w:r>
      <w:r>
        <w:t xml:space="preserve">- Если один выбирает</w:t>
      </w:r>
      <w:r>
        <w:t xml:space="preserve"> </w:t>
      </w:r>
      <w:r>
        <w:rPr>
          <w:b/>
          <w:bCs/>
        </w:rPr>
        <w:t xml:space="preserve">F</w:t>
      </w:r>
      <w:r>
        <w:t xml:space="preserve">, второму выгодно выбрать</w:t>
      </w:r>
      <w:r>
        <w:t xml:space="preserve"> </w:t>
      </w:r>
      <w:r>
        <w:rPr>
          <w:b/>
          <w:bCs/>
        </w:rPr>
        <w:t xml:space="preserve">F</w:t>
      </w:r>
      <w:r>
        <w:t xml:space="preserve"> </w:t>
      </w:r>
      <w:r>
        <w:t xml:space="preserve">(иначе 0).</w:t>
      </w:r>
    </w:p>
    <w:bookmarkEnd w:id="31"/>
    <w:bookmarkStart w:id="32" w:name="парето-оптимальность"/>
    <w:p>
      <w:pPr>
        <w:pStyle w:val="Heading3"/>
      </w:pPr>
      <w:r>
        <w:rPr>
          <w:rStyle w:val="SectionNumber"/>
        </w:rPr>
        <w:t xml:space="preserve">0.3.2</w:t>
      </w:r>
      <w:r>
        <w:tab/>
      </w:r>
      <w:r>
        <w:t xml:space="preserve">Парето-оптимальность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(C, C)</w:t>
      </w:r>
      <w:r>
        <w:t xml:space="preserve"> </w:t>
      </w:r>
      <w:r>
        <w:t xml:space="preserve">Парето-доминирует</w:t>
      </w:r>
      <w:r>
        <w:t xml:space="preserve"> </w:t>
      </w:r>
      <w:r>
        <w:rPr>
          <w:b/>
          <w:bCs/>
        </w:rPr>
        <w:t xml:space="preserve">(F, F)</w:t>
      </w:r>
      <w:r>
        <w:t xml:space="preserve"> </w:t>
      </w:r>
      <w:r>
        <w:t xml:space="preserve">при a &gt; 1.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Но</w:t>
      </w:r>
      <w:r>
        <w:t xml:space="preserve"> </w:t>
      </w:r>
      <w:r>
        <w:rPr>
          <w:b/>
          <w:bCs/>
        </w:rPr>
        <w:t xml:space="preserve">(F, F)</w:t>
      </w:r>
      <w:r>
        <w:t xml:space="preserve"> </w:t>
      </w:r>
      <w:r>
        <w:t xml:space="preserve">может быть более устойчивым из-за риска.</w:t>
      </w:r>
    </w:p>
    <w:bookmarkEnd w:id="32"/>
    <w:bookmarkStart w:id="39" w:name="риск-доминирование"/>
    <w:p>
      <w:pPr>
        <w:pStyle w:val="Heading3"/>
      </w:pPr>
      <w:r>
        <w:rPr>
          <w:rStyle w:val="SectionNumber"/>
        </w:rPr>
        <w:t xml:space="preserve">0.3.3</w:t>
      </w:r>
      <w:r>
        <w:tab/>
      </w:r>
      <w:r>
        <w:t xml:space="preserve">Риск-доминирование</w:t>
      </w:r>
    </w:p>
    <w:p>
      <w:pPr>
        <w:pStyle w:val="FirstParagraph"/>
      </w:pPr>
      <w:r>
        <w:rPr>
          <w:b/>
          <w:bCs/>
        </w:rPr>
        <w:t xml:space="preserve">(F, F)</w:t>
      </w:r>
      <w:r>
        <w:t xml:space="preserve"> </w:t>
      </w:r>
      <w:r>
        <w:t xml:space="preserve">является риск-доминирующим, если:</w:t>
      </w:r>
      <w:r>
        <w:br/>
      </w:r>
      <w:r>
        <w:t xml:space="preserve">- При неопределённости выбора оппонента,</w:t>
      </w:r>
      <w:r>
        <w:t xml:space="preserve"> </w:t>
      </w:r>
      <w:r>
        <w:rPr>
          <w:b/>
          <w:bCs/>
        </w:rPr>
        <w:t xml:space="preserve">F</w:t>
      </w:r>
      <w:r>
        <w:t xml:space="preserve"> </w:t>
      </w:r>
      <w:r>
        <w:t xml:space="preserve">даёт гарантированный выигрыш 1.</w:t>
      </w:r>
    </w:p>
    <w:p>
      <w:pPr>
        <w:pStyle w:val="CaptionedFigure"/>
      </w:pPr>
      <w:r>
        <w:drawing>
          <wp:inline>
            <wp:extent cx="3733800" cy="1683870"/>
            <wp:effectExtent b="0" l="0" r="0" t="0"/>
            <wp:docPr descr="График равновесий" title="" id="34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presentation/report/image/9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равновесий</w:t>
      </w:r>
    </w:p>
    <w:p>
      <w:pPr>
        <w:pStyle w:val="CaptionedFigure"/>
      </w:pPr>
      <w:r>
        <w:drawing>
          <wp:inline>
            <wp:extent cx="4800600" cy="3601955"/>
            <wp:effectExtent b="0" l="0" r="0" t="0"/>
            <wp:docPr descr="График равновесий" title="" id="37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presentation/report/image/3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равновесий</w:t>
      </w:r>
    </w:p>
    <w:p>
      <w:r>
        <w:pict>
          <v:rect style="width:0;height:1.5pt" o:hralign="center" o:hrstd="t" o:hr="t"/>
        </w:pict>
      </w:r>
    </w:p>
    <w:bookmarkEnd w:id="39"/>
    <w:bookmarkEnd w:id="40"/>
    <w:bookmarkStart w:id="46" w:name="динамические-аспекты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Динамические аспекты</w:t>
      </w:r>
    </w:p>
    <w:bookmarkStart w:id="41" w:name="повторяющиеся-взаимодействия"/>
    <w:p>
      <w:pPr>
        <w:pStyle w:val="Heading3"/>
      </w:pPr>
      <w:r>
        <w:rPr>
          <w:rStyle w:val="SectionNumber"/>
        </w:rPr>
        <w:t xml:space="preserve">0.4.1</w:t>
      </w:r>
      <w:r>
        <w:tab/>
      </w:r>
      <w:r>
        <w:t xml:space="preserve">Повторяющиеся взаимодействия</w:t>
      </w:r>
    </w:p>
    <w:p>
      <w:pPr>
        <w:pStyle w:val="FirstParagraph"/>
      </w:pPr>
      <w:r>
        <w:t xml:space="preserve">В повторяющейся игре кооперация может поддерживаться стратегиями: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“Око за око”</w:t>
      </w:r>
      <w:r>
        <w:rPr>
          <w:b/>
          <w:bCs/>
        </w:rPr>
        <w:t xml:space="preserve"> </w:t>
      </w:r>
      <w:r>
        <w:rPr>
          <w:b/>
          <w:bCs/>
        </w:rPr>
        <w:t xml:space="preserve">(Tit-for-Tat)</w:t>
      </w:r>
      <w:r>
        <w:t xml:space="preserve">: Начинай с</w:t>
      </w:r>
      <w:r>
        <w:t xml:space="preserve"> </w:t>
      </w:r>
      <w:r>
        <w:rPr>
          <w:b/>
          <w:bCs/>
        </w:rPr>
        <w:t xml:space="preserve">C</w:t>
      </w:r>
      <w:r>
        <w:t xml:space="preserve">, затем повторяй действие оппонента.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“Щедрый Tit-for-Tat”</w:t>
      </w:r>
      <w:r>
        <w:t xml:space="preserve">: Иногда прощай отклонения.</w:t>
      </w:r>
    </w:p>
    <w:bookmarkEnd w:id="41"/>
    <w:bookmarkStart w:id="45" w:name="эволюционные-модели"/>
    <w:p>
      <w:pPr>
        <w:pStyle w:val="Heading3"/>
      </w:pPr>
      <w:r>
        <w:rPr>
          <w:rStyle w:val="SectionNumber"/>
        </w:rPr>
        <w:t xml:space="preserve">0.4.2</w:t>
      </w:r>
      <w:r>
        <w:tab/>
      </w:r>
      <w:r>
        <w:t xml:space="preserve">Эволюционные модели</w:t>
      </w:r>
    </w:p>
    <w:p>
      <w:pPr>
        <w:pStyle w:val="FirstParagraph"/>
      </w:pPr>
      <w:r>
        <w:t xml:space="preserve">В популяциях кооперация развивается, если:</w:t>
      </w:r>
      <w:r>
        <w:br/>
      </w:r>
      <w:r>
        <w:t xml:space="preserve">- Группы кооператоров получают больше выгод.</w:t>
      </w:r>
      <w:r>
        <w:br/>
      </w:r>
      <w:r>
        <w:t xml:space="preserve">- Существует механизм наказания</w:t>
      </w:r>
      <w:r>
        <w:t xml:space="preserve"> </w:t>
      </w:r>
      <w:r>
        <w:t xml:space="preserve">“безбилетников”</w:t>
      </w:r>
      <w:r>
        <w:t xml:space="preserve">.</w:t>
      </w:r>
    </w:p>
    <w:p>
      <w:pPr>
        <w:pStyle w:val="CaptionedFigure"/>
      </w:pPr>
      <w:r>
        <w:drawing>
          <wp:inline>
            <wp:extent cx="4267200" cy="2181013"/>
            <wp:effectExtent b="0" l="0" r="0" t="0"/>
            <wp:docPr descr="Эволюция кооперации" title="" id="43" name="Picture"/>
            <a:graphic>
              <a:graphicData uri="http://schemas.openxmlformats.org/drawingml/2006/picture">
                <pic:pic>
                  <pic:nvPicPr>
                    <pic:cNvPr descr="/home/ghislain/work/study/2024-2025/Математическое%20моделирование/mathmod/presentation/report/image/8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8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Эволюция кооперации</w:t>
      </w:r>
    </w:p>
    <w:p>
      <w:r>
        <w:pict>
          <v:rect style="width:0;height:1.5pt" o:hralign="center" o:hrstd="t" o:hr="t"/>
        </w:pict>
      </w:r>
    </w:p>
    <w:bookmarkEnd w:id="45"/>
    <w:bookmarkEnd w:id="46"/>
    <w:bookmarkStart w:id="50" w:name="приложения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Приложения</w:t>
      </w:r>
    </w:p>
    <w:bookmarkStart w:id="47" w:name="экономика"/>
    <w:p>
      <w:pPr>
        <w:pStyle w:val="Heading3"/>
      </w:pPr>
      <w:r>
        <w:rPr>
          <w:rStyle w:val="SectionNumber"/>
        </w:rPr>
        <w:t xml:space="preserve">0.5.1</w:t>
      </w:r>
      <w:r>
        <w:tab/>
      </w:r>
      <w:r>
        <w:t xml:space="preserve">Экономика</w:t>
      </w:r>
    </w:p>
    <w:p>
      <w:pPr>
        <w:pStyle w:val="Compact"/>
        <w:numPr>
          <w:ilvl w:val="0"/>
          <w:numId w:val="1003"/>
        </w:numPr>
      </w:pPr>
      <w:r>
        <w:t xml:space="preserve">Создание картелей (если все соблюдают договорённости — прибыль высокая).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Совместные инвестиции в инфраструктуру.</w:t>
      </w:r>
    </w:p>
    <w:bookmarkEnd w:id="47"/>
    <w:bookmarkStart w:id="48" w:name="социальные-науки"/>
    <w:p>
      <w:pPr>
        <w:pStyle w:val="Heading3"/>
      </w:pPr>
      <w:r>
        <w:rPr>
          <w:rStyle w:val="SectionNumber"/>
        </w:rPr>
        <w:t xml:space="preserve">0.5.2</w:t>
      </w:r>
      <w:r>
        <w:tab/>
      </w:r>
      <w:r>
        <w:t xml:space="preserve">Социальные науки</w:t>
      </w:r>
    </w:p>
    <w:p>
      <w:pPr>
        <w:pStyle w:val="Compact"/>
        <w:numPr>
          <w:ilvl w:val="0"/>
          <w:numId w:val="1004"/>
        </w:numPr>
      </w:pPr>
      <w:r>
        <w:t xml:space="preserve">Коллективные действия (например, протесты).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Нормы поведения в обществе.</w:t>
      </w:r>
    </w:p>
    <w:bookmarkEnd w:id="48"/>
    <w:bookmarkStart w:id="49" w:name="биология-и-экология"/>
    <w:p>
      <w:pPr>
        <w:pStyle w:val="Heading3"/>
      </w:pPr>
      <w:r>
        <w:rPr>
          <w:rStyle w:val="SectionNumber"/>
        </w:rPr>
        <w:t xml:space="preserve">0.5.3</w:t>
      </w:r>
      <w:r>
        <w:tab/>
      </w:r>
      <w:r>
        <w:t xml:space="preserve">Биология и экология</w:t>
      </w:r>
    </w:p>
    <w:p>
      <w:pPr>
        <w:pStyle w:val="Compact"/>
        <w:numPr>
          <w:ilvl w:val="0"/>
          <w:numId w:val="1005"/>
        </w:numPr>
      </w:pPr>
      <w:r>
        <w:t xml:space="preserve">Взаимовыгодные симбиозы (например, пчёлы и цветы).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Климатические соглашения между странами.</w:t>
      </w:r>
    </w:p>
    <w:p>
      <w:r>
        <w:pict>
          <v:rect style="width:0;height:1.5pt" o:hralign="center" o:hrstd="t" o:hr="t"/>
        </w:pict>
      </w:r>
    </w:p>
    <w:bookmarkEnd w:id="49"/>
    <w:bookmarkEnd w:id="50"/>
    <w:bookmarkStart w:id="51" w:name="заключение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Игры чистой кооперации:</w:t>
      </w:r>
      <w:r>
        <w:br/>
      </w:r>
      <w:r>
        <w:t xml:space="preserve">- Показывают, как взаимовыгодные исходы зависят от согласованности.</w:t>
      </w:r>
      <w:r>
        <w:br/>
      </w:r>
      <w:r>
        <w:t xml:space="preserve">- Имеют два равновесия:</w:t>
      </w:r>
      <w:r>
        <w:t xml:space="preserve"> </w:t>
      </w:r>
      <w:r>
        <w:rPr>
          <w:b/>
          <w:bCs/>
        </w:rPr>
        <w:t xml:space="preserve">(C, C)</w:t>
      </w:r>
      <w:r>
        <w:t xml:space="preserve"> </w:t>
      </w:r>
      <w:r>
        <w:t xml:space="preserve">(оптимальное) и</w:t>
      </w:r>
      <w:r>
        <w:t xml:space="preserve"> </w:t>
      </w:r>
      <w:r>
        <w:rPr>
          <w:b/>
          <w:bCs/>
        </w:rPr>
        <w:t xml:space="preserve">(F, F)</w:t>
      </w:r>
      <w:r>
        <w:t xml:space="preserve"> </w:t>
      </w:r>
      <w:r>
        <w:t xml:space="preserve">(устойчивое).</w:t>
      </w:r>
      <w:r>
        <w:br/>
      </w:r>
      <w:r>
        <w:t xml:space="preserve">- Применяются в экономике, социологии, биологии.</w:t>
      </w:r>
    </w:p>
    <w:p>
      <w:pPr>
        <w:pStyle w:val="BodyText"/>
      </w:pPr>
      <w:r>
        <w:t xml:space="preserve">Более подробно в</w:t>
      </w:r>
      <w:r>
        <w:t xml:space="preserve"> </w:t>
      </w:r>
      <w:r>
        <w:t xml:space="preserve">[1]</w:t>
      </w:r>
      <w:r>
        <w:t xml:space="preserve">,</w:t>
      </w:r>
      <w:r>
        <w:t xml:space="preserve"> </w:t>
      </w:r>
      <w:r>
        <w:t xml:space="preserve">[2]</w:t>
      </w:r>
      <w:r>
        <w:t xml:space="preserve">,</w:t>
      </w:r>
      <w:r>
        <w:t xml:space="preserve"> </w:t>
      </w:r>
      <w:r>
        <w:t xml:space="preserve">[3]</w:t>
      </w:r>
      <w:r>
        <w:t xml:space="preserve">,</w:t>
      </w:r>
      <w:r>
        <w:t xml:space="preserve"> </w:t>
      </w:r>
      <w:r>
        <w:t xml:space="preserve">[4]</w:t>
      </w:r>
    </w:p>
    <w:bookmarkEnd w:id="51"/>
    <w:bookmarkStart w:id="61" w:name="список-литературы"/>
    <w:p>
      <w:pPr>
        <w:pStyle w:val="Heading1"/>
      </w:pPr>
      <w:r>
        <w:t xml:space="preserve">Список литературы</w:t>
      </w:r>
    </w:p>
    <w:bookmarkStart w:id="60" w:name="refs"/>
    <w:bookmarkStart w:id="53" w:name="ref-osborne_game_theory_2004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Osborne M.J.</w:t>
      </w:r>
      <w:r>
        <w:t xml:space="preserve"> </w:t>
      </w:r>
      <w:hyperlink r:id="rId52">
        <w:r>
          <w:rPr>
            <w:rStyle w:val="Hyperlink"/>
          </w:rPr>
          <w:t xml:space="preserve">An Introduction to Game Theory</w:t>
        </w:r>
      </w:hyperlink>
      <w:r>
        <w:t xml:space="preserve">. Oxford University Press, 2004. 533 с.</w:t>
      </w:r>
    </w:p>
    <w:bookmarkEnd w:id="53"/>
    <w:bookmarkStart w:id="55" w:name="ref-axelrod_evolution_1984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Axelrod R.</w:t>
      </w:r>
      <w:r>
        <w:t xml:space="preserve"> </w:t>
      </w:r>
      <w:hyperlink r:id="rId54">
        <w:r>
          <w:rPr>
            <w:rStyle w:val="Hyperlink"/>
          </w:rPr>
          <w:t xml:space="preserve">The Evolution of Cooperation</w:t>
        </w:r>
      </w:hyperlink>
      <w:r>
        <w:t xml:space="preserve">. Basic Books, 1984. 241 с.</w:t>
      </w:r>
    </w:p>
    <w:bookmarkEnd w:id="55"/>
    <w:bookmarkStart w:id="57" w:name="ref-myerson_game_1991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Myerson R.B.</w:t>
      </w:r>
      <w:r>
        <w:t xml:space="preserve"> </w:t>
      </w:r>
      <w:hyperlink r:id="rId56">
        <w:r>
          <w:rPr>
            <w:rStyle w:val="Hyperlink"/>
          </w:rPr>
          <w:t xml:space="preserve">Game Theory: Analysis of Conflict</w:t>
        </w:r>
      </w:hyperlink>
      <w:r>
        <w:t xml:space="preserve">. Harvard University Press, 1991. 568 с.</w:t>
      </w:r>
    </w:p>
    <w:bookmarkEnd w:id="57"/>
    <w:bookmarkStart w:id="59" w:name="ref-sigmund_calculus_2010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Sigmund K.</w:t>
      </w:r>
      <w:r>
        <w:t xml:space="preserve"> </w:t>
      </w:r>
      <w:hyperlink r:id="rId58">
        <w:r>
          <w:rPr>
            <w:rStyle w:val="Hyperlink"/>
          </w:rPr>
          <w:t xml:space="preserve">The Calculus of Selfishness</w:t>
        </w:r>
      </w:hyperlink>
      <w:r>
        <w:t xml:space="preserve">. Princeton University Press, 2010. 173 с.</w:t>
      </w:r>
    </w:p>
    <w:bookmarkEnd w:id="59"/>
    <w:bookmarkEnd w:id="60"/>
    <w:bookmarkEnd w:id="6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so" /><Relationship Type="http://schemas.openxmlformats.org/officeDocument/2006/relationships/image" Id="rId36" Target="media/rId36.so" /><Relationship Type="http://schemas.openxmlformats.org/officeDocument/2006/relationships/image" Id="rId20" Target="media/rId20.so" /><Relationship Type="http://schemas.openxmlformats.org/officeDocument/2006/relationships/image" Id="rId42" Target="media/rId42.so" /><Relationship Type="http://schemas.openxmlformats.org/officeDocument/2006/relationships/image" Id="rId33" Target="media/rId33.so" /><Relationship Type="http://schemas.openxmlformats.org/officeDocument/2006/relationships/hyperlink" Id="rId52" Target="https://global.oup.com/academic/product/an-introduction-to-game-theory-9780195128956" TargetMode="External" /><Relationship Type="http://schemas.openxmlformats.org/officeDocument/2006/relationships/hyperlink" Id="rId58" Target="https://press.princeton.edu/books/paperback/9780691142705/the-calculus-of-selfishness" TargetMode="External" /><Relationship Type="http://schemas.openxmlformats.org/officeDocument/2006/relationships/hyperlink" Id="rId54" Target="https://www.basicbooks.com/titles/robert-axelrod/the-evolution-of-cooperation/9780465005642/" TargetMode="External" /><Relationship Type="http://schemas.openxmlformats.org/officeDocument/2006/relationships/hyperlink" Id="rId56" Target="https://www.hup.harvard.edu/catalog.php?isbn=97806743411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global.oup.com/academic/product/an-introduction-to-game-theory-9780195128956" TargetMode="External" /><Relationship Type="http://schemas.openxmlformats.org/officeDocument/2006/relationships/hyperlink" Id="rId58" Target="https://press.princeton.edu/books/paperback/9780691142705/the-calculus-of-selfishness" TargetMode="External" /><Relationship Type="http://schemas.openxmlformats.org/officeDocument/2006/relationships/hyperlink" Id="rId54" Target="https://www.basicbooks.com/titles/robert-axelrod/the-evolution-of-cooperation/9780465005642/" TargetMode="External" /><Relationship Type="http://schemas.openxmlformats.org/officeDocument/2006/relationships/hyperlink" Id="rId56" Target="https://www.hup.harvard.edu/catalog.php?isbn=97806743411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доклад</dc:title>
  <dc:creator>Tуем Гислен</dc:creator>
  <dc:language>ru-RU</dc:language>
  <cp:keywords/>
  <dcterms:created xsi:type="dcterms:W3CDTF">2025-04-18T18:32:15Z</dcterms:created>
  <dcterms:modified xsi:type="dcterms:W3CDTF">2025-04-18T18:32:15Z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Игры чистой кооперации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