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9</w:t>
      </w:r>
    </w:p>
    <w:p>
      <w:pPr>
        <w:pStyle w:val="Subtitle"/>
      </w:pPr>
      <w:r>
        <w:t xml:space="preserve">Модель «Накорми студентов»</w:t>
      </w:r>
    </w:p>
    <w:p>
      <w:pPr>
        <w:pStyle w:val="Author"/>
      </w:pPr>
      <w:r>
        <w:t xml:space="preserve">Туем Гислен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w:r>
        <w:t xml:space="preserve">“Накорми студентов”</w:t>
      </w:r>
      <w:r>
        <w:t xml:space="preserve"> </w:t>
      </w:r>
      <w:r>
        <w:t xml:space="preserve">в CPN 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“Накорми студентов”</w:t>
      </w:r>
      <w:r>
        <w:t xml:space="preserve"> </w:t>
      </w:r>
      <w:r>
        <w:t xml:space="preserve">в CPN Tools;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пример студентов, обедающих пирогами. Голодный студент становится сытым после того, как съедает пирог.</w:t>
      </w:r>
    </w:p>
    <w:p>
      <w:pPr>
        <w:pStyle w:val="BodyText"/>
      </w:pPr>
      <w:r>
        <w:t xml:space="preserve">Таким образом, имеем:</w:t>
      </w:r>
      <w:r>
        <w:t xml:space="preserve"> </w:t>
      </w:r>
      <w:r>
        <w:t xml:space="preserve">- два типа фишек: «пироги» и «студенты»;</w:t>
      </w:r>
      <w:r>
        <w:t xml:space="preserve"> </w:t>
      </w:r>
      <w:r>
        <w:t xml:space="preserve">- три позиции: «голодный студент», «пирожки», «сытый студент»;</w:t>
      </w:r>
      <w:r>
        <w:t xml:space="preserve"> </w:t>
      </w:r>
      <w:r>
        <w:t xml:space="preserve">- один переход: «съесть пирожок».</w:t>
      </w:r>
    </w:p>
    <w:p>
      <w:pPr>
        <w:pStyle w:val="BodyText"/>
      </w:pPr>
      <w:r>
        <w:t xml:space="preserve">Сначала нарисуем граф сети. Для этого с помощью контекстного меню создаём новую сеть, добавляем позиции, переход и дуги (рис. 1).</w:t>
      </w:r>
    </w:p>
    <w:bookmarkStart w:id="25" w:name="fig:001"/>
    <w:p>
      <w:pPr>
        <w:pStyle w:val="CaptionedFigure"/>
      </w:pPr>
      <w:r>
        <w:drawing>
          <wp:inline>
            <wp:extent cx="3733800" cy="2825242"/>
            <wp:effectExtent b="0" l="0" r="0" t="0"/>
            <wp:docPr descr="Рис. 1: Граф сети модели «Накорми студентов»" title="" id="23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9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5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модели «Накорми студентов»</w:t>
      </w:r>
    </w:p>
    <w:bookmarkEnd w:id="25"/>
    <w:p>
      <w:pPr>
        <w:pStyle w:val="BodyText"/>
      </w:pPr>
      <w:r>
        <w:t xml:space="preserve">В меню задаём новые декларации модели: типы фишек, начальные значения</w:t>
      </w:r>
      <w:r>
        <w:t xml:space="preserve"> </w:t>
      </w:r>
      <w:r>
        <w:t xml:space="preserve">позиций, выражения для дуг. Для этого наведя мышку на меню Standart declarations,</w:t>
      </w:r>
      <w:r>
        <w:t xml:space="preserve"> </w:t>
      </w:r>
      <w:r>
        <w:t xml:space="preserve">правой кнопкой вызываем контекстное меню и выбираем New Decl и адаем тип s фишкам, относящимся к студентам, тип p — фишкам, относящимся к пирогам, задаём значения переменных x и y для дуг и начальные значения мультимножеств init_stud и init_food(рис. 2).</w:t>
      </w:r>
    </w:p>
    <w:bookmarkStart w:id="29" w:name="fig:002"/>
    <w:p>
      <w:pPr>
        <w:pStyle w:val="CaptionedFigure"/>
      </w:pPr>
      <w:r>
        <w:drawing>
          <wp:inline>
            <wp:extent cx="2136808" cy="2618071"/>
            <wp:effectExtent b="0" l="0" r="0" t="0"/>
            <wp:docPr descr="Рис. 2: Задание деклараций модели «Накорми студентов»" title="" id="27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9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808" cy="261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деклараций модели «Накорми студентов»</w:t>
      </w:r>
    </w:p>
    <w:bookmarkEnd w:id="29"/>
    <w:p>
      <w:pPr>
        <w:pStyle w:val="BodyText"/>
      </w:pPr>
      <w:r>
        <w:t xml:space="preserve">В результате получаем работающую модель(рис. 3).</w:t>
      </w:r>
    </w:p>
    <w:bookmarkStart w:id="33" w:name="fig:003"/>
    <w:p>
      <w:pPr>
        <w:pStyle w:val="CaptionedFigure"/>
      </w:pPr>
      <w:r>
        <w:drawing>
          <wp:inline>
            <wp:extent cx="3733800" cy="2823570"/>
            <wp:effectExtent b="0" l="0" r="0" t="0"/>
            <wp:docPr descr="Рис. 3: модели «Накорми студентов»" title="" id="31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9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3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модели «Накорми студентов»</w:t>
      </w:r>
    </w:p>
    <w:bookmarkEnd w:id="33"/>
    <w:p>
      <w:pPr>
        <w:pStyle w:val="BodyText"/>
      </w:pPr>
      <w:r>
        <w:t xml:space="preserve">После запуска фишки типа «пирожки» из позиции «еда» и фишки типа «студен-</w:t>
      </w:r>
      <w:r>
        <w:t xml:space="preserve"> </w:t>
      </w:r>
      <w:r>
        <w:t xml:space="preserve">ты» из позиции «голодный студент», пройдя через переход «кушать», попадают</w:t>
      </w:r>
      <w:r>
        <w:t xml:space="preserve"> </w:t>
      </w:r>
      <w:r>
        <w:t xml:space="preserve">в позицию «сытый студент» и преобразуются в тип «студенты»(рис. 4).</w:t>
      </w:r>
    </w:p>
    <w:bookmarkStart w:id="37" w:name="fig:004"/>
    <w:p>
      <w:pPr>
        <w:pStyle w:val="CaptionedFigure"/>
      </w:pPr>
      <w:r>
        <w:drawing>
          <wp:inline>
            <wp:extent cx="3733800" cy="3218379"/>
            <wp:effectExtent b="0" l="0" r="0" t="0"/>
            <wp:docPr descr="Рис. 4: Запуск модели «Накорми студентов»" title="" id="35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9/report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8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модели «Накорми студентов»</w:t>
      </w:r>
    </w:p>
    <w:bookmarkEnd w:id="37"/>
    <w:bookmarkEnd w:id="38"/>
    <w:bookmarkStart w:id="47" w:name="упражн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полученного отчета можно узнать:</w:t>
      </w:r>
    </w:p>
    <w:p>
      <w:pPr>
        <w:pStyle w:val="Compact"/>
        <w:numPr>
          <w:ilvl w:val="0"/>
          <w:numId w:val="1002"/>
        </w:numPr>
      </w:pPr>
      <w:r>
        <w:t xml:space="preserve">В графе есть 4 узла и 3 дуги (4 состояния и 3 перехода).</w:t>
      </w:r>
    </w:p>
    <w:p>
      <w:pPr>
        <w:pStyle w:val="Compact"/>
        <w:numPr>
          <w:ilvl w:val="0"/>
          <w:numId w:val="1002"/>
        </w:numPr>
      </w:pPr>
      <w:r>
        <w:t xml:space="preserve">Указаны границы значений для каждого элемента: голодные студенты (максимум - 3, минимум - 0), сытые студенты (максимум - 3, минимум - 0), еда (максимум - 5, минимум - 2, минимальное значение 2, так как в конце симуляции остаются пирожки).</w:t>
      </w:r>
    </w:p>
    <w:p>
      <w:pPr>
        <w:pStyle w:val="Compact"/>
        <w:numPr>
          <w:ilvl w:val="0"/>
          <w:numId w:val="1002"/>
        </w:numPr>
      </w:pPr>
      <w:r>
        <w:t xml:space="preserve">Также указаны границы мультимножеств.</w:t>
      </w:r>
    </w:p>
    <w:p>
      <w:pPr>
        <w:pStyle w:val="Compact"/>
        <w:numPr>
          <w:ilvl w:val="0"/>
          <w:numId w:val="1002"/>
        </w:numPr>
      </w:pPr>
      <w:r>
        <w:t xml:space="preserve">Маркировка home равная 4.</w:t>
      </w:r>
    </w:p>
    <w:p>
      <w:pPr>
        <w:pStyle w:val="Compact"/>
        <w:numPr>
          <w:ilvl w:val="0"/>
          <w:numId w:val="1002"/>
        </w:numPr>
      </w:pPr>
      <w:r>
        <w:t xml:space="preserve">Маркировка dead равная 4.</w:t>
      </w:r>
    </w:p>
    <w:p>
      <w:pPr>
        <w:pStyle w:val="Compact"/>
        <w:numPr>
          <w:ilvl w:val="0"/>
          <w:numId w:val="1002"/>
        </w:numPr>
      </w:pPr>
      <w:r>
        <w:t xml:space="preserve">В конце указано, что нет бесконечных последовательностей вхождений.</w:t>
      </w:r>
      <w:r>
        <w:t xml:space="preserve"> </w:t>
      </w:r>
      <w:r>
        <w:t xml:space="preserve">Фрагмент отчёта о пространстве состояний(рис. 5).</w:t>
      </w:r>
    </w:p>
    <w:bookmarkStart w:id="42" w:name="fig:005"/>
    <w:p>
      <w:pPr>
        <w:pStyle w:val="CaptionedFigure"/>
      </w:pPr>
      <w:r>
        <w:drawing>
          <wp:inline>
            <wp:extent cx="3733800" cy="3910398"/>
            <wp:effectExtent b="0" l="0" r="0" t="0"/>
            <wp:docPr descr="Рис. 5: Фрагмент отчёта о пространстве состояний" title="" id="40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9/report/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0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Фрагмент отчёта о пространстве состояний</w:t>
      </w:r>
    </w:p>
    <w:bookmarkEnd w:id="42"/>
    <w:p>
      <w:pPr>
        <w:pStyle w:val="BodyText"/>
      </w:pPr>
      <w:r>
        <w:t xml:space="preserve">Построим граф пространства состояний(рис. 6).</w:t>
      </w:r>
    </w:p>
    <w:bookmarkStart w:id="46" w:name="fig:006"/>
    <w:p>
      <w:pPr>
        <w:pStyle w:val="CaptionedFigure"/>
      </w:pPr>
      <w:r>
        <w:drawing>
          <wp:inline>
            <wp:extent cx="3733800" cy="3074323"/>
            <wp:effectExtent b="0" l="0" r="0" t="0"/>
            <wp:docPr descr="Рис. 6: граф пространства состояний" title="" id="44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9/report/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4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 пространства состояний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модель</w:t>
      </w:r>
      <w:r>
        <w:t xml:space="preserve"> </w:t>
      </w:r>
      <w:r>
        <w:t xml:space="preserve">“Накорми студентов”</w:t>
      </w:r>
      <w:r>
        <w:t xml:space="preserve"> </w:t>
      </w:r>
      <w:r>
        <w:t xml:space="preserve">в CPN Tools.</w:t>
      </w:r>
    </w:p>
    <w:p>
      <w:pPr>
        <w:pStyle w:val="BodyText"/>
      </w:pPr>
      <w:r>
        <w:t xml:space="preserve">Более подробно в</w:t>
      </w:r>
      <w:r>
        <w:t xml:space="preserve"> </w:t>
      </w:r>
      <w:r>
        <w:t xml:space="preserve">[1]</w:t>
      </w:r>
    </w:p>
    <w:bookmarkEnd w:id="48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Start w:id="50" w:name="X9d36a5e72b7106b431d999cf9772cfc21691043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Anna V. Korolkova D.S.K.</w:t>
      </w:r>
      <w:r>
        <w:t xml:space="preserve"> </w:t>
      </w:r>
      <w:hyperlink r:id="rId49">
        <w:r>
          <w:rPr>
            <w:rStyle w:val="Hyperlink"/>
          </w:rPr>
          <w:t xml:space="preserve">Архитектура и принципы построения современных сетей и систем телекоммуникаций</w:t>
        </w:r>
      </w:hyperlink>
      <w:r>
        <w:t xml:space="preserve">. Издательство РУДН, January 2008.</w:t>
      </w:r>
    </w:p>
    <w:bookmarkEnd w:id="50"/>
    <w:bookmarkEnd w:id="51"/>
    <w:bookmarkEnd w:id="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49" Target="https://www.researchgate.net/publication/235974572_Arhitektura_i_principy_postroenia_sovremennyh_setej_i_sistem_telekommunikacij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www.researchgate.net/publication/235974572_Arhitektura_i_principy_postroenia_sovremennyh_setej_i_sistem_telekommunikacij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Туем Гислен</dc:creator>
  <dc:language>ru-RU</dc:language>
  <cp:keywords/>
  <dcterms:created xsi:type="dcterms:W3CDTF">2025-04-05T15:19:09Z</dcterms:created>
  <dcterms:modified xsi:type="dcterms:W3CDTF">2025-04-05T15:19:09Z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Модель «Накорми студентов»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