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DES CHARGES</w:t>
      </w:r>
    </w:p>
    <w:p>
      <w:r>
        <w:rPr>
          <w:b/>
        </w:rPr>
        <w:t xml:space="preserve">Référence : </w:t>
      </w:r>
      <w:r>
        <w:t>CDC-2025-118</w:t>
      </w:r>
    </w:p>
    <w:p>
      <w:r>
        <w:rPr>
          <w:b/>
        </w:rPr>
        <w:t xml:space="preserve">Objet : </w:t>
      </w:r>
      <w:r>
        <w:t>Virtualisation du parc de serveurs physiques</w:t>
      </w:r>
    </w:p>
    <w:p>
      <w:r>
        <w:rPr>
          <w:b/>
        </w:rPr>
        <w:t xml:space="preserve">Date : </w:t>
      </w:r>
      <w:r>
        <w:t>11 juillet 2025</w:t>
      </w:r>
    </w:p>
    <w:p>
      <w:r>
        <w:rPr>
          <w:b/>
        </w:rPr>
        <w:t xml:space="preserve">Version : </w:t>
      </w:r>
      <w:r>
        <w:t>1.0</w:t>
      </w:r>
    </w:p>
    <w:p>
      <w:r>
        <w:rPr>
          <w:b/>
        </w:rPr>
        <w:t xml:space="preserve">Diffusion : </w:t>
      </w:r>
      <w:r>
        <w:t>restreinte — usage interne et prestataires consultés</w:t>
      </w:r>
    </w:p>
    <w:p>
      <w:r>
        <w:rPr>
          <w:b/>
        </w:rPr>
        <w:t xml:space="preserve">Maître d'ouvrage : </w:t>
      </w:r>
      <w:r>
        <w:t>Société Exemple — Direction des Systèmes d'Information</w:t>
      </w:r>
    </w:p>
    <w:p>
      <w:r>
        <w:br w:type="page"/>
      </w:r>
    </w:p>
    <w:p>
      <w:pPr>
        <w:pStyle w:val="Heading2"/>
      </w:pPr>
      <w:r>
        <w:t>1. Contexte et enjeux</w:t>
      </w:r>
    </w:p>
    <w:p>
      <w:r>
        <w:t>La présente consultation s'inscrit dans une démarche de renforcement de la résilience et de la performance des services informatiques du La Société Exemple, engagée depuis 8 ans à l'initiative de la Direction Générale.</w:t>
      </w:r>
    </w:p>
    <w:p>
      <w:r>
        <w:t>Dans le cadre de son plan stratégique 2025-2028, le La Société Exemple poursuit la modernisation de son système d'information afin de soutenir la croissance de ses activités et d'améliorer la qualité de service rendue à ses clients internes et externes.</w:t>
      </w:r>
    </w:p>
    <w:p>
      <w:r>
        <w:t>La Société Exemple emploie plus de 1800 collaborateurs répartis sur 15 sites au Maroc. La Direction des Systèmes d'Information pilote l'ensemble des projets d'évolution du système d'information pour le compte des directions métier.</w:t>
      </w:r>
    </w:p>
    <w:p>
      <w:r>
        <w:t>L'infrastructure actuelle approche de la fin de sa durée de vie technique et présente des risques croissants d'obsolescence, tant sur le plan matériel que sur le plan de la disponibilité des pièces de rechange.</w:t>
      </w:r>
    </w:p>
    <w:p>
      <w:r>
        <w:t>La Direction Générale a inscrit la sécurisation de l'infrastructure parmi les priorités du présent exercice budgétaire, au regard des risques identifiés lors du dernier audit interne.</w:t>
      </w:r>
    </w:p>
    <w:p>
      <w:r>
        <w:t>La croissance des volumes de données traitées par la Société Exemple impose une revue de la capacité et de la résilience de l'infrastructure, dans un contexte où la continuité d'activité est une exigence de plus en plus forte des directions métier.</w:t>
      </w:r>
    </w:p>
    <w:p>
      <w:r>
        <w:t>La Société Exemple attend du prestataire retenu une capacité à s'intégrer aux processus internes existants, tout en proposant les évolutions nécessaires à l'atteinte des objectifs fixés.</w:t>
      </w:r>
    </w:p>
    <w:p>
      <w:r>
        <w:t>L'enjeu principal de cette consultation est de garantir la continuité de service pour l'ensemble des directions métier concernées, sans dégradation perceptible pendant la période de transition.</w:t>
      </w:r>
    </w:p>
    <w:p>
      <w:pPr>
        <w:pStyle w:val="Heading2"/>
      </w:pPr>
      <w:r>
        <w:t>2. Objet de la consultation</w:t>
      </w:r>
    </w:p>
    <w:p>
      <w:r>
        <w:t>Le présent cahier des charges définit les besoins de la Société Exemple relatifs à la prestation suivante : Virtualisation du parc de serveurs physiques. Il précise les exigences fonctionnelles et techniques attendues, les délais d'exécution, les modalités de réception ainsi que les engagements de garantie et de niveau de service. Le prestataire retenu s'engage sur l'ensemble des clauses du présent document, qui prévaut sur toute proposition commerciale antérieure en cas de contradiction.</w:t>
      </w:r>
    </w:p>
    <w:p>
      <w:pPr>
        <w:pStyle w:val="Heading2"/>
      </w:pPr>
      <w:r>
        <w:t>3. Périmètre de la prestation</w:t>
      </w:r>
    </w:p>
    <w:p>
      <w:r>
        <w:t>La prestation est réalisée dans le cadre d'un marché forfaitaire. Toute activité non listée ci-dessous mais nécessaire à l'atteinte du résultat attendu est réputée incluse, sauf mention contraire explicite.</w:t>
      </w:r>
    </w:p>
    <w:p>
      <w:r>
        <w:t>Sont inclus dans le périmètre de la prestation :</w:t>
      </w:r>
    </w:p>
    <w:p>
      <w:r>
        <w:t>- Étude de dimensionnement et validation de l'architecture cible. Cette activité est réalisée conjointement avec les équipes internes concernées.</w:t>
      </w:r>
    </w:p>
    <w:p>
      <w:r>
        <w:t>- Mise en œuvre de la redondance et des mécanismes de reprise. Cette activité fait l'objet d'un point d'avancement dédié en comité de suivi.</w:t>
      </w:r>
    </w:p>
    <w:p>
      <w:r>
        <w:t>- Accompagnement pendant la période de garantie. Cette prestation est réalisée selon les standards internes de la Société Exemple et documentée en conséquence.</w:t>
      </w:r>
    </w:p>
    <w:p>
      <w:r>
        <w:t>- Tests de restauration et de bascule. La Société Exemple désigne un interlocuteur référent pour valider cette activité.</w:t>
      </w:r>
    </w:p>
    <w:p>
      <w:r>
        <w:t>- Formation des équipes d'administration. Cette activité fait l'objet d'un point d'avancement dédié en comité de suivi.</w:t>
      </w:r>
    </w:p>
    <w:p>
      <w:r>
        <w:t>- Migration des données et services existants.</w:t>
      </w:r>
    </w:p>
    <w:p>
      <w:r>
        <w:t>- Documentation d'exploitation complète. Cette activité est réalisée conjointement avec les équipes internes concernées.</w:t>
      </w:r>
    </w:p>
    <w:p>
      <w:r>
        <w:t>- Fourniture et installation des équipements. Cette activité est réalisée conjointement avec les équipes internes concernées.</w:t>
      </w:r>
    </w:p>
    <w:p>
      <w:r>
        <w:t>Sont explicitement exclus du périmètre :</w:t>
      </w:r>
    </w:p>
    <w:p>
      <w:r>
        <w:t>- La formation de personnel autre que les équipes désignées par la Société Exemple.</w:t>
      </w:r>
    </w:p>
    <w:p>
      <w:r>
        <w:t>- Le support aux utilisateurs finaux, qui reste assuré par le service d'assistance interne de la Société Exemple.</w:t>
      </w:r>
    </w:p>
    <w:p>
      <w:r>
        <w:t>- Le câblage ou les travaux relevant du génie civil, sauf mention contraire explicite du présent document.</w:t>
      </w:r>
    </w:p>
    <w:p>
      <w:r>
        <w:t>- L'exploitation courante au-delà de la période de garantie contractuelle.</w:t>
      </w:r>
    </w:p>
    <w:p>
      <w:r>
        <w:t>- Les développements ou adaptations demandés hors périmètre fonctionnel validé en phase de cadrage.</w:t>
      </w:r>
    </w:p>
    <w:p>
      <w:pPr>
        <w:pStyle w:val="Heading2"/>
      </w:pPr>
      <w:r>
        <w:t>4. Analyse de l'existant</w:t>
      </w:r>
    </w:p>
    <w:p>
      <w:r>
        <w:t>Les baies de stockage actuelles arrivent en fin de support constructeur, ce qui limite les possibilités d'extension de capacité sans opération de migration. Cette limite constitue un frein identifié à la réalisation des objectifs fixés par la Direction Générale.</w:t>
      </w:r>
    </w:p>
    <w:p>
      <w:r>
        <w:t>Le plan de reprise d'activité actuel n'a pas fait l'objet de test grandeur nature depuis plus de 2 ans, ce qui constitue un risque identifié par la Direction des Systèmes d'Information. Cette limite constitue un frein identifié à la réalisation des objectifs fixés par la Direction Générale.</w:t>
      </w:r>
    </w:p>
    <w:p>
      <w:r>
        <w:t>La climatisation de la salle serveurs ne dispose d'aucune redondance active, ce qui constitue un point de défaillance unique identifié lors du dernier audit technique. Cette limite constitue un frein identifié à la réalisation des objectifs fixés par la Direction Générale.</w:t>
      </w:r>
    </w:p>
    <w:p>
      <w:r>
        <w:t>L'infrastructure actuelle repose sur 50 serveurs physiques hébergés dans la salle serveurs du site principal, dont la capacité de stockage disponible est de 80 To. Le coût de maintien en condition opérationnelle de l'existant augmente d'un exercice à l'autre.</w:t>
      </w:r>
    </w:p>
    <w:p>
      <w:r>
        <w:t>Le taux d'utilisation moyen des ressources de calcul est de l'ordre de 65 %, avec des pics significatifs lors des traitements de fin de mois. Cette situation a été formellement remontée par les directions métier concernées lors des comités de suivi trimestriels.</w:t>
      </w:r>
    </w:p>
    <w:p>
      <w:pPr>
        <w:pStyle w:val="Heading2"/>
      </w:pPr>
      <w:r>
        <w:t>5. Expression du besoin fonctionnel</w:t>
      </w:r>
    </w:p>
    <w:p>
      <w:r>
        <w:t>EF-01. L'application livrée doit permettre le test de restauration à la demande, sans impact sur l'environnement de production. Cette exigence contribue directement aux objectifs de qualité de service fixés pour la prestation. Cette exigence est vérifiée lors de la recette technique, sur la base d'un scénario de test documenté. L'absence de cette fonctionnalité expose la Société Exemple à un risque opérationnel jugé significatif par la Direction des Systèmes d'Information.</w:t>
      </w:r>
    </w:p>
    <w:p>
      <w:r>
        <w:t>EF-02. La solution retenue doit fournir un tableau de bord de suivi de consommation des ressources par direction métier. Cette exigence a été formulée à la suite des incidents constatés sur le système actuel. Cette exigence est tracée dans la matrice de conformité remise avec l'offre. Cette exigence a un impact direct sur l'expérience quotidienne des utilisateurs finaux du système.</w:t>
      </w:r>
    </w:p>
    <w:p>
      <w:r>
        <w:t>EF-03. L'outil déployé doit garantir la conformité au Règlement Général sur la Protection des Données pour tout traitement de données à caractère personnel. Cette exigence découle des limites constatées sur la solution actuelle, décrites au chapitre Analyse de l'existant. Le respect de cette exigence conditionne le prononcé de la réception provisoire. Cette exigence a un impact direct sur l'expérience quotidienne des utilisateurs finaux du système.</w:t>
      </w:r>
    </w:p>
    <w:p>
      <w:r>
        <w:t>EF-04. La solution retenue doit permettre la sauvegarde régulière des données selon une politique définie conjointement avec la Direction des Systèmes d'Information. Cette exigence a été formulée à la suite des incidents constatés sur le système actuel. Cette exigence est vérifiée par échantillonnage lors de la période d'observation. Cette exigence a un impact direct sur l'expérience quotidienne des utilisateurs finaux du système.</w:t>
      </w:r>
    </w:p>
    <w:p>
      <w:r>
        <w:t>EF-05. L'application livrée doit fournir un mécanisme de restauration après incident sans perte de données au-delà de l'objectif de point de reprise convenu. Cette exigence est jugée prioritaire par la Direction des Systèmes d'Information. La démonstration de cette exigence est intégrée au plan de tests de recette. Cette exigence est reprise telle quelle dans le contrat final, sauf négociation explicite actée par écrit entre les parties.</w:t>
      </w:r>
    </w:p>
    <w:p>
      <w:r>
        <w:t>EF-06. La solution retenue doit garantir la conformité au Règlement Général sur la Protection des Données pour tout traitement de données à caractère personnel. Cette exigence vise à réduire le risque opérationnel identifié sur le périmètre actuel. Cette exigence est vérifiée par échantillonnage lors de la période d'observation. L'absence de cette fonctionnalité expose la Société Exemple à un risque opérationnel jugé significatif par la Direction des Systèmes d'Information.</w:t>
      </w:r>
    </w:p>
    <w:p>
      <w:r>
        <w:t>EF-07. Le dispositif mis en œuvre doit journaliser l'ensemble des opérations sensibles, avec conservation des journaux pendant une durée conforme à la politique interne de la Société Exemple. Cette exigence est jugée prioritaire par la Direction des Systèmes d'Information. Cette exigence est tracée dans la matrice de conformité remise avec l'offre. Une réponse partielle à cette exigence doit être explicitement signalée et justifiée dans l'offre du prestataire.</w:t>
      </w:r>
    </w:p>
    <w:p>
      <w:r>
        <w:t>EF-08. L'outil déployé doit permettre la révocation immédiate des droits d'un utilisateur quittant la Société Exemple. Cette exigence s'inscrit dans la politique de sécurité de la Société Exemple. Cette exigence est validée par un test fonctionnel réalisé en présence d'un représentant de la Société Exemple. Le prestataire décrit dans son offre la manière dont il compte répondre à cette exigence, avec le niveau de détail attendu pour une consultation de ce type.</w:t>
      </w:r>
    </w:p>
    <w:p>
      <w:r>
        <w:t>EF-09. L'application livrée doit garantir la réplication des données critiques vers un second site distant. Cette exigence vise à réduire le risque opérationnel identifié sur le périmètre actuel. Cette exigence est validée par un test fonctionnel réalisé en présence d'un représentant de la Société Exemple. Cette exigence est reprise telle quelle dans le contrat final, sauf négociation explicite actée par écrit entre les parties.</w:t>
      </w:r>
    </w:p>
    <w:p>
      <w:r>
        <w:t>EF-10. Le système doit reposer sur une authentification unique adossée à l'annuaire LDAP de la Société Exemple. Cette exigence est jugée prioritaire par la Direction des Systèmes d'Information. Cette exigence fait l'objet d'un contrôle contradictoire entre le prestataire et les équipes de la Société Exemple. Cette exigence a un impact direct sur l'expérience quotidienne des utilisateurs finaux du système.</w:t>
      </w:r>
    </w:p>
    <w:p>
      <w:r>
        <w:t>EF-11. La solution retenue doit permettre la définition de profils d'accès distincts selon le rôle de l'utilisateur. Cette exigence est jugée prioritaire par la Direction des Systèmes d'Information. Le non-respect constaté de cette exigence ouvre un délai de reprise avant réception. Cette exigence est reprise telle quelle dans le contrat final, sauf négociation explicite actée par écrit entre les parties.</w:t>
      </w:r>
    </w:p>
    <w:p>
      <w:r>
        <w:t>EF-12. L'application livrée doit journaliser l'ensemble des opérations sensibles, avec conservation des journaux pendant une durée conforme à la politique interne de la Société Exemple. Cette exigence contribue directement aux objectifs de qualité de service fixés pour la prestation. Le non-respect constaté de cette exigence ouvre un délai de reprise avant réception. Une réponse partielle à cette exigence doit être explicitement signalée et justifiée dans l'offre du prestataire.</w:t>
      </w:r>
    </w:p>
    <w:p>
      <w:r>
        <w:t>EF-13. Le système doit permettre l'archivage des données selon une durée de conservation conforme aux obligations légales applicables. Cette exigence répond à un besoin exprimé par les utilisateurs métier lors des ateliers de cadrage. Cette exigence est vérifiée lors de la recette technique, sur la base d'un scénario de test documenté. Une réponse partielle à cette exigence doit être explicitement signalée et justifiée dans l'offre du prestataire.</w:t>
      </w:r>
    </w:p>
    <w:p>
      <w:r>
        <w:t>EF-14. L'application livrée doit permettre l'ajout de capacité de stockage sans interruption de service. Cette exigence s'inscrit dans la politique de sécurité de la Société Exemple. Cette exigence fait l'objet d'un contrôle contradictoire entre le prestataire et les équipes de la Société Exemple. Le prestataire décrit dans son offre la manière dont il compte répondre à cette exigence, avec le niveau de détail attendu pour une consultation de ce type.</w:t>
      </w:r>
    </w:p>
    <w:p>
      <w:r>
        <w:t>EF-15. L'outil déployé doit permettre la restitution d'un rapport de conformité des sauvegardes à la demande de la Société Exemple. Cette exigence conditionne l'adhésion des utilisateurs finaux à la nouvelle solution. La conformité à cette exigence est un préalable à la levée des réserves de réception. Le prestataire décrit dans son offre la manière dont il compte répondre à cette exigence, avec le niveau de détail attendu pour une consultation de ce type.</w:t>
      </w:r>
    </w:p>
    <w:p>
      <w:r>
        <w:t>EF-16. L'outil déployé doit permettre la gestion des sauvegardes selon une politique de rétention paramétrable par type de donnée. Cette exigence conditionne l'adhésion des utilisateurs finaux à la nouvelle solution. Le non-respect constaté de cette exigence ouvre un délai de reprise avant réception. La Société Exemple se réserve le droit de demander une démonstration anticipée de cette fonctionnalité avant la commande ferme.</w:t>
      </w:r>
    </w:p>
    <w:p>
      <w:r>
        <w:t>EF-17. Le dispositif mis en œuvre doit permettre la remontée d'alerte vers l'équipe d'astreinte en cas d'anomalie bloquante. Cette exigence s'inscrit dans la politique de sécurité de la Société Exemple. La démonstration de cette exigence est intégrée au plan de tests de recette. L'absence de cette fonctionnalité expose la Société Exemple à un risque opérationnel jugé significatif par la Direction des Systèmes d'Information.</w:t>
      </w:r>
    </w:p>
    <w:p>
      <w:r>
        <w:t>EF-18. Le dispositif mis en œuvre doit permettre la restauration d'une machine virtuelle individuelle sans impact sur les autres services hébergés. Cette exigence découle des limites constatées sur la solution actuelle, décrites au chapitre Analyse de l'existant. La conformité à cette exigence est un préalable à la levée des réserves de réception. La Société Exemple se réserve le droit de demander une démonstration anticipée de cette fonctionnalité avant la commande ferme.</w:t>
      </w:r>
    </w:p>
    <w:p>
      <w:r>
        <w:t>EF-19. L'application livrée doit permettre la supervision centralisée de l'ensemble des ressources de calcul, de stockage et de réseau. Cette exigence découle des limites constatées sur la solution actuelle, décrites au chapitre Analyse de l'existant. Cette exigence est tracée dans la matrice de conformité remise avec l'offre. Le prestataire décrit dans son offre la manière dont il compte répondre à cette exigence, avec le niveau de détail attendu pour une consultation de ce type.</w:t>
      </w:r>
    </w:p>
    <w:p>
      <w:r>
        <w:t>EF-20. L'application livrée doit fournir une documentation d'exploitation permettant aux équipes internes d'assurer le support de premier niveau. Cette exigence a été formulée à la suite des incidents constatés sur le système actuel. La démonstration de cette exigence est intégrée au plan de tests de recette. Cette exigence est reprise telle quelle dans le contrat final, sauf négociation explicite actée par écrit entre les parties.</w:t>
      </w:r>
    </w:p>
    <w:p>
      <w:r>
        <w:t>EF-21. L'outil déployé doit permettre la restauration d'une machine virtuelle individuelle sans impact sur les autres services hébergés. Cette exigence contribue directement aux objectifs de qualité de service fixés pour la prestation. Cette exigence est vérifiée par échantillonnage lors de la période d'observation. L'absence de cette fonctionnalité expose la Société Exemple à un risque opérationnel jugé significatif par la Direction des Systèmes d'Information.</w:t>
      </w:r>
    </w:p>
    <w:p>
      <w:r>
        <w:t>EF-22. Le dispositif mis en œuvre doit reposer sur une authentification unique adossée à l'annuaire LDAP de la Société Exemple. Cette exigence est jugée prioritaire par la Direction des Systèmes d'Information. Le prestataire documente la mise en œuvre de cette exigence dans le dossier de recette. La Société Exemple se réserve le droit de demander une démonstration anticipée de cette fonctionnalité avant la commande ferme.</w:t>
      </w:r>
    </w:p>
    <w:p>
      <w:r>
        <w:t>EF-23. Le système doit permettre la révocation immédiate des droits d'un utilisateur quittant la Société Exemple. Cette exigence contribue directement aux objectifs de qualité de service fixés pour la prestation. Cette exigence est tracée dans la matrice de conformité remise avec l'offre. Le prestataire décrit dans son offre la manière dont il compte répondre à cette exigence, avec le niveau de détail attendu pour une consultation de ce type.</w:t>
      </w:r>
    </w:p>
    <w:p>
      <w:r>
        <w:t>EF-24. L'outil déployé doit permettre la définition de profils d'accès distincts selon le rôle de l'utilisateur. Cette exigence a été formulée à la suite des incidents constatés sur le système actuel. Cette exigence est validée par un test fonctionnel réalisé en présence d'un représentant de la Société Exemple. Le prestataire décrit dans son offre la manière dont il compte répondre à cette exigence, avec le niveau de détail attendu pour une consultation de ce type.</w:t>
      </w:r>
    </w:p>
    <w:p>
      <w:r>
        <w:t>EF-25. Le système doit permettre la remontée d'alerte vers l'équipe d'astreinte en cas d'anomalie bloquante. Cette exigence contribue directement aux objectifs de qualité de service fixés pour la prestation. Le respect de cette exigence conditionne le prononcé de la réception provisoire. La Société Exemple se réserve le droit de demander une démonstration anticipée de cette fonctionnalité avant la commande ferme.</w:t>
      </w:r>
    </w:p>
    <w:p>
      <w:r>
        <w:t>EF-26. L'outil déployé doit alerter automatiquement les équipes d'astreinte en cas de dépassement d'un seuil de capacité critique. Cette exigence conditionne l'adhésion des utilisateurs finaux à la nouvelle solution. Le prestataire documente la mise en œuvre de cette exigence dans le dossier de recette. Cette exigence a un impact direct sur l'expérience quotidienne des utilisateurs finaux du système.</w:t>
      </w:r>
    </w:p>
    <w:p>
      <w:r>
        <w:t>EF-27. La solution retenue doit alerter automatiquement les équipes d'astreinte en cas de dépassement d'un seuil de capacité critique. Cette exigence répond à un besoin exprimé par les utilisateurs métier lors des ateliers de cadrage. Cette exigence est vérifiée lors de la recette technique, sur la base d'un scénario de test documenté. L'absence de cette fonctionnalité expose la Société Exemple à un risque opérationnel jugé significatif par la Direction des Systèmes d'Information.</w:t>
      </w:r>
    </w:p>
    <w:p>
      <w:r>
        <w:t>EF-28. L'application livrée doit garantir la conformité au Règlement Général sur la Protection des Données pour tout traitement de données à caractère personnel. Cette exigence contribue directement aux objectifs de qualité de service fixés pour la prestation. Le prestataire documente la mise en œuvre de cette exigence dans le dossier de recette. Le prestataire décrit dans son offre la manière dont il compte répondre à cette exigence, avec le niveau de détail attendu pour une consultation de ce type.</w:t>
      </w:r>
    </w:p>
    <w:p>
      <w:r>
        <w:t>EF-29. L'application livrée doit permettre la remontée d'alerte vers l'équipe d'astreinte en cas d'anomalie bloquante. Cette exigence répond à un besoin exprimé par les utilisateurs métier lors des ateliers de cadrage. Le prestataire documente la mise en œuvre de cette exigence dans le dossier de recette. Le prestataire décrit dans son offre la manière dont il compte répondre à cette exigence, avec le niveau de détail attendu pour une consultation de ce type.</w:t>
      </w:r>
    </w:p>
    <w:p>
      <w:r>
        <w:t>EF-30. Le système doit alerter automatiquement les équipes d'astreinte en cas de dépassement d'un seuil de capacité critique. Cette exigence répond à un besoin exprimé par les utilisateurs métier lors des ateliers de cadrage. Cette exigence est tracée dans la matrice de conformité remise avec l'offre. Une réponse partielle à cette exigence doit être explicitement signalée et justifiée dans l'offre du prestataire.</w:t>
      </w:r>
    </w:p>
    <w:p>
      <w:r>
        <w:t>EF-31. Le dispositif mis en œuvre doit fournir un mécanisme de restauration après incident sans perte de données au-delà de l'objectif de point de reprise convenu. Cette exigence contribue directement aux objectifs de qualité de service fixés pour la prestation. Cette exigence est vérifiée lors de la recette technique, sur la base d'un scénario de test documenté. Cette exigence est reprise telle quelle dans le contrat final, sauf négociation explicite actée par écrit entre les parties.</w:t>
      </w:r>
    </w:p>
    <w:p>
      <w:r>
        <w:t>EF-32. Le dispositif mis en œuvre doit fournir une documentation d'exploitation permettant aux équipes internes d'assurer le support de premier niveau. Cette exigence est jugée prioritaire par la Direction des Systèmes d'Information. Cette exigence est tracée dans la matrice de conformité remise avec l'offre. La Société Exemple se réserve le droit de demander une démonstration anticipée de cette fonctionnalité avant la commande ferme.</w:t>
      </w:r>
    </w:p>
    <w:p>
      <w:r>
        <w:t>EF-33. L'application livrée doit fournir un tableau de bord de suivi de consommation des ressources par direction métier. Cette exigence s'inscrit dans la politique de sécurité de la Société Exemple. La conformité à cette exigence est un préalable à la levée des réserves de réception. La Société Exemple se réserve le droit de demander une démonstration anticipée de cette fonctionnalité avant la commande ferme.</w:t>
      </w:r>
    </w:p>
    <w:p>
      <w:r>
        <w:t>EF-34. L'application livrée doit permettre la gestion des sauvegardes selon une politique de rétention paramétrable par type de donnée. Cette exigence répond à un besoin exprimé par les utilisateurs métier lors des ateliers de cadrage. Le non-respect constaté de cette exigence ouvre un délai de reprise avant réception. Cette exigence est reprise telle quelle dans le contrat final, sauf négociation explicite actée par écrit entre les parties.</w:t>
      </w:r>
    </w:p>
    <w:p>
      <w:r>
        <w:t>EF-35. Le dispositif mis en œuvre doit être disponible en français, langue de travail de la Société Exemple, pour l'ensemble des écrans et documents livrés. Cette exigence contribue directement aux objectifs de qualité de service fixés pour la prestation. La démonstration de cette exigence est intégrée au plan de tests de recette. L'absence de cette fonctionnalité expose la Société Exemple à un risque opérationnel jugé significatif par la Direction des Systèmes d'Information.</w:t>
      </w:r>
    </w:p>
    <w:p>
      <w:r>
        <w:t>EF-36. Le système doit restituer, sur demande de la Société Exemple, un état complet des habilitations actives à un instant donné. Cette exigence répond à un besoin exprimé par les utilisateurs métier lors des ateliers de cadrage. Cette exigence fait l'objet d'un contrôle contradictoire entre le prestataire et les équipes de la Société Exemple. Cette exigence a un impact direct sur l'expérience quotidienne des utilisateurs finaux du système.</w:t>
      </w:r>
    </w:p>
    <w:p>
      <w:r>
        <w:t>EF-37. La solution retenue doit permettre l'ajout de capacité de stockage sans interruption de service. Cette exigence conditionne l'adhésion des utilisateurs finaux à la nouvelle solution. La conformité à cette exigence est un préalable à la levée des réserves de réception. Cette exigence est reprise telle quelle dans le contrat final, sauf négociation explicite actée par écrit entre les parties.</w:t>
      </w:r>
    </w:p>
    <w:p>
      <w:r>
        <w:t>EF-38. Le système doit permettre la supervision centralisée de l'ensemble des ressources de calcul, de stockage et de réseau. Cette exigence conditionne l'adhésion des utilisateurs finaux à la nouvelle solution. Cette exigence est tracée dans la matrice de conformité remise avec l'offre. Une réponse partielle à cette exigence doit être explicitement signalée et justifiée dans l'offre du prestataire.</w:t>
      </w:r>
    </w:p>
    <w:p>
      <w:r>
        <w:t>EF-39. L'outil déployé doit permettre le test de restauration à la demande, sans impact sur l'environnement de production. Cette exigence répond à un besoin exprimé par les utilisateurs métier lors des ateliers de cadrage. Cette exigence est vérifiée lors de la recette technique, sur la base d'un scénario de test documenté. Cette exigence a un impact direct sur l'expérience quotidienne des utilisateurs finaux du système.</w:t>
      </w:r>
    </w:p>
    <w:p>
      <w:r>
        <w:t>EF-40. L'application livrée doit permettre la sauvegarde régulière des données selon une politique définie conjointement avec la Direction des Systèmes d'Information. Cette exigence répond à un besoin exprimé par les utilisateurs métier lors des ateliers de cadrage. Cette exigence fait l'objet d'un contrôle contradictoire entre le prestataire et les équipes de la Société Exemple. La Société Exemple se réserve le droit de demander une démonstration anticipée de cette fonctionnalité avant la commande ferme.</w:t>
      </w:r>
    </w:p>
    <w:p>
      <w:r>
        <w:t>EF-41. Le système doit permettre la sauvegarde régulière des données selon une politique définie conjointement avec la Direction des Systèmes d'Information. Cette exigence est jugée prioritaire par la Direction des Systèmes d'Information. Cette exigence est vérifiée lors de la recette technique, sur la base d'un scénario de test documenté. Le prestataire décrit dans son offre la manière dont il compte répondre à cette exigence, avec le niveau de détail attendu pour une consultation de ce type.</w:t>
      </w:r>
    </w:p>
    <w:p>
      <w:r>
        <w:t>EF-42. L'outil déployé doit permettre la remontée d'alerte vers l'équipe d'astreinte en cas d'anomalie bloquante. Cette exigence est jugée prioritaire par la Direction des Systèmes d'Information. Cette exigence est validée par un test fonctionnel réalisé en présence d'un représentant de la Société Exemple. Cette exigence est reprise telle quelle dans le contrat final, sauf négociation explicite actée par écrit entre les parties.</w:t>
      </w:r>
    </w:p>
    <w:p>
      <w:r>
        <w:t>EF-43. La solution retenue doit journaliser l'ensemble des opérations sensibles, avec conservation des journaux pendant une durée conforme à la politique interne de la Société Exemple. Cette exigence contribue directement aux objectifs de qualité de service fixés pour la prestation. La conformité à cette exigence est un préalable à la levée des réserves de réception. Cette exigence est reprise telle quelle dans le contrat final, sauf négociation explicite actée par écrit entre les parties.</w:t>
      </w:r>
    </w:p>
    <w:p>
      <w:r>
        <w:t>EF-44. Le dispositif mis en œuvre doit restituer, sur demande de la Société Exemple, un état complet des habilitations actives à un instant donné. Cette exigence vise à réduire le risque opérationnel identifié sur le périmètre actuel. Le respect de cette exigence conditionne le prononcé de la réception provisoire. Une réponse partielle à cette exigence doit être explicitement signalée et justifiée dans l'offre du prestataire.</w:t>
      </w:r>
    </w:p>
    <w:p>
      <w:r>
        <w:t>EF-45. La solution retenue doit restituer, sur demande de la Société Exemple, un état complet des habilitations actives à un instant donné. Cette exigence découle des limites constatées sur la solution actuelle, décrites au chapitre Analyse de l'existant. Cette exigence fait l'objet d'un contrôle contradictoire entre le prestataire et les équipes de la Société Exemple. Une réponse partielle à cette exigence doit être explicitement signalée et justifiée dans l'offre du prestataire.</w:t>
      </w:r>
    </w:p>
    <w:p>
      <w:r>
        <w:t>EF-46. La solution retenue doit fournir une documentation d'exploitation permettant aux équipes internes d'assurer le support de premier niveau. Cette exigence est jugée prioritaire par la Direction des Systèmes d'Information. Le prestataire documente la mise en œuvre de cette exigence dans le dossier de recette. Cette exigence a un impact direct sur l'expérience quotidienne des utilisateurs finaux du système.</w:t>
      </w:r>
    </w:p>
    <w:p>
      <w:r>
        <w:t>EF-47. Le dispositif mis en œuvre doit permettre la sauvegarde régulière des données selon une politique définie conjointement avec la Direction des Systèmes d'Information. Cette exigence vise à réduire le risque opérationnel identifié sur le périmètre actuel. Cette exigence est tracée dans la matrice de conformité remise avec l'offre. Une réponse partielle à cette exigence doit être explicitement signalée et justifiée dans l'offre du prestataire.</w:t>
      </w:r>
    </w:p>
    <w:p>
      <w:r>
        <w:t>EF-48. L'application livrée doit permettre la définition de profils d'accès distincts selon le rôle de l'utilisateur. Cette exigence découle des limites constatées sur la solution actuelle, décrites au chapitre Analyse de l'existant. La conformité à cette exigence est un préalable à la levée des réserves de réception. Cette exigence a un impact direct sur l'expérience quotidienne des utilisateurs finaux du système.</w:t>
      </w:r>
    </w:p>
    <w:p>
      <w:r>
        <w:t>EF-49. Le dispositif mis en œuvre doit permettre la supervision centralisée de l'ensemble des ressources de calcul, de stockage et de réseau. Cette exigence est jugée prioritaire par la Direction des Systèmes d'Information. La démonstration de cette exigence est intégrée au plan de tests de recette. Cette exigence est reprise telle quelle dans le contrat final, sauf négociation explicite actée par écrit entre les parties.</w:t>
      </w:r>
    </w:p>
    <w:p>
      <w:r>
        <w:t>EF-50. Le dispositif mis en œuvre doit fournir un tableau de bord de suivi de consommation des ressources par direction métier. Cette exigence est jugée prioritaire par la Direction des Systèmes d'Information. Cette exigence est vérifiée lors de la recette technique, sur la base d'un scénario de test documenté. L'absence de cette fonctionnalité expose la Société Exemple à un risque opérationnel jugé significatif par la Direction des Systèmes d'Information.</w:t>
      </w:r>
    </w:p>
    <w:p>
      <w:r>
        <w:t>EF-51. Le dispositif mis en œuvre doit permettre l'archivage des données selon une durée de conservation conforme aux obligations légales applicables. Cette exigence conditionne l'adhésion des utilisateurs finaux à la nouvelle solution. Cette exigence est validée par un test fonctionnel réalisé en présence d'un représentant de la Société Exemple. Le prestataire décrit dans son offre la manière dont il compte répondre à cette exigence, avec le niveau de détail attendu pour une consultation de ce type.</w:t>
      </w:r>
    </w:p>
    <w:p>
      <w:r>
        <w:t>EF-52. La solution retenue doit garantir la bascule automatique vers le site de secours en cas d'indisponibilité du site principal. Cette exigence conditionne l'adhésion des utilisateurs finaux à la nouvelle solution. Cette exigence fait l'objet d'un contrôle contradictoire entre le prestataire et les équipes de la Société Exemple. Le prestataire décrit dans son offre la manière dont il compte répondre à cette exigence, avec le niveau de détail attendu pour une consultation de ce type.</w:t>
      </w:r>
    </w:p>
    <w:p>
      <w:r>
        <w:t>EF-53. La solution retenue doit reposer sur une authentification unique adossée à l'annuaire LDAP de la Société Exemple. Cette exigence contribue directement aux objectifs de qualité de service fixés pour la prestation. Cette exigence fait l'objet d'un contrôle contradictoire entre le prestataire et les équipes de la Société Exemple. Une réponse partielle à cette exigence doit être explicitement signalée et justifiée dans l'offre du prestataire.</w:t>
      </w:r>
    </w:p>
    <w:p>
      <w:r>
        <w:t>EF-54. L'outil déployé doit permettre la supervision centralisée de l'ensemble des ressources de calcul, de stockage et de réseau. Cette exigence a été formulée à la suite des incidents constatés sur le système actuel. Cette exigence est vérifiée lors de la recette technique, sur la base d'un scénario de test documenté. La Société Exemple se réserve le droit de demander une démonstration anticipée de cette fonctionnalité avant la commande ferme.</w:t>
      </w:r>
    </w:p>
    <w:p>
      <w:r>
        <w:t>EF-55. Le système doit permettre la définition de profils d'accès distincts selon le rôle de l'utilisateur. Cette exigence répond à un besoin exprimé par les utilisateurs métier lors des ateliers de cadrage. Cette exigence est validée par un test fonctionnel réalisé en présence d'un représentant de la Société Exemple. Cette exigence est reprise telle quelle dans le contrat final, sauf négociation explicite actée par écrit entre les parties.</w:t>
      </w:r>
    </w:p>
    <w:p>
      <w:r>
        <w:t>EF-56. La solution retenue doit permettre la restauration d'une machine virtuelle individuelle sans impact sur les autres services hébergés. Cette exigence a été formulée à la suite des incidents constatés sur le système actuel. Le prestataire documente la mise en œuvre de cette exigence dans le dossier de recette. Le prestataire décrit dans son offre la manière dont il compte répondre à cette exigence, avec le niveau de détail attendu pour une consultation de ce type.</w:t>
      </w:r>
    </w:p>
    <w:p>
      <w:r>
        <w:t>EF-57. Le système doit garantir la réplication des données critiques vers un second site distant. Cette exigence est jugée prioritaire par la Direction des Systèmes d'Information. La conformité à cette exigence est un préalable à la levée des réserves de réception. Le prestataire décrit dans son offre la manière dont il compte répondre à cette exigence, avec le niveau de détail attendu pour une consultation de ce type.</w:t>
      </w:r>
    </w:p>
    <w:p>
      <w:r>
        <w:t>EF-58. La solution retenue doit permettre la révocation immédiate des droits d'un utilisateur quittant la Société Exemple. Cette exigence découle des limites constatées sur la solution actuelle, décrites au chapitre Analyse de l'existant. Cette exigence est tracée dans la matrice de conformité remise avec l'offre. Le prestataire décrit dans son offre la manière dont il compte répondre à cette exigence, avec le niveau de détail attendu pour une consultation de ce type.</w:t>
      </w:r>
    </w:p>
    <w:p>
      <w:r>
        <w:t>EF-59. L'application livrée doit permettre la révocation immédiate des droits d'un utilisateur quittant la Société Exemple. Cette exigence découle des limites constatées sur la solution actuelle, décrites au chapitre Analyse de l'existant. Cette exigence fait l'objet d'un contrôle contradictoire entre le prestataire et les équipes de la Société Exemple. Une réponse partielle à cette exigence doit être explicitement signalée et justifiée dans l'offre du prestataire.</w:t>
      </w:r>
    </w:p>
    <w:p>
      <w:r>
        <w:t>EF-60. La solution retenue doit permettre la supervision centralisée de l'ensemble des ressources de calcul, de stockage et de réseau. Cette exigence est jugée prioritaire par la Direction des Systèmes d'Information. Cette exigence fait l'objet d'un contrôle contradictoire entre le prestataire et les équipes de la Société Exemple. Le prestataire décrit dans son offre la manière dont il compte répondre à cette exigence, avec le niveau de détail attendu pour une consultation de ce type.</w:t>
      </w:r>
    </w:p>
    <w:p>
      <w:r>
        <w:t>EF-61. Le dispositif mis en œuvre doit permettre la restitution d'un rapport de conformité des sauvegardes à la demande de la Société Exemple. Cette exigence s'inscrit dans la politique de sécurité de la Société Exemple. Cette exigence est tracée dans la matrice de conformité remise avec l'offre. Cette exigence est reprise telle quelle dans le contrat final, sauf négociation explicite actée par écrit entre les parties.</w:t>
      </w:r>
    </w:p>
    <w:p>
      <w:r>
        <w:t>EF-62. L'application livrée doit reposer sur une authentification unique adossée à l'annuaire LDAP de la Société Exemple. Cette exigence conditionne l'adhésion des utilisateurs finaux à la nouvelle solution. Cette exigence est vérifiée lors de la recette technique, sur la base d'un scénario de test documenté. Une réponse partielle à cette exigence doit être explicitement signalée et justifiée dans l'offre du prestataire.</w:t>
      </w:r>
    </w:p>
    <w:p>
      <w:r>
        <w:t>EF-63. Le dispositif mis en œuvre doit permettre la gestion des sauvegardes selon une politique de rétention paramétrable par type de donnée. Cette exigence répond à un besoin exprimé par les utilisateurs métier lors des ateliers de cadrage. Le non-respect constaté de cette exigence ouvre un délai de reprise avant réception. Le prestataire décrit dans son offre la manière dont il compte répondre à cette exigence, avec le niveau de détail attendu pour une consultation de ce type.</w:t>
      </w:r>
    </w:p>
    <w:p>
      <w:r>
        <w:t>EF-64. L'outil déployé doit être disponible en français, langue de travail de la Société Exemple, pour l'ensemble des écrans et documents livrés. Cette exigence contribue directement aux objectifs de qualité de service fixés pour la prestation. Cette exigence est tracée dans la matrice de conformité remise avec l'offre. Cette exigence est reprise telle quelle dans le contrat final, sauf négociation explicite actée par écrit entre les parties.</w:t>
      </w:r>
    </w:p>
    <w:p>
      <w:r>
        <w:t>EF-65. Le système doit permettre la gestion des sauvegardes selon une politique de rétention paramétrable par type de donnée. Cette exigence est jugée prioritaire par la Direction des Systèmes d'Information. Cette exigence est vérifiée par échantillonnage lors de la période d'observation. L'absence de cette fonctionnalité expose la Société Exemple à un risque opérationnel jugé significatif par la Direction des Systèmes d'Information.</w:t>
      </w:r>
    </w:p>
    <w:p>
      <w:r>
        <w:t>EF-66. Le système doit fournir un tableau de bord de suivi de consommation des ressources par direction métier. Cette exigence découle des limites constatées sur la solution actuelle, décrites au chapitre Analyse de l'existant. La démonstration de cette exigence est intégrée au plan de tests de recette. La Société Exemple se réserve le droit de demander une démonstration anticipée de cette fonctionnalité avant la commande ferme.</w:t>
      </w:r>
    </w:p>
    <w:p>
      <w:r>
        <w:t>EF-67. La solution retenue doit permettre le test de restauration à la demande, sans impact sur l'environnement de production. Cette exigence a été formulée à la suite des incidents constatés sur le système actuel. Cette exigence est validée par un test fonctionnel réalisé en présence d'un représentant de la Société Exemple. L'absence de cette fonctionnalité expose la Société Exemple à un risque opérationnel jugé significatif par la Direction des Systèmes d'Information.</w:t>
      </w:r>
    </w:p>
    <w:p>
      <w:r>
        <w:t>EF-68. L'application livrée doit permettre l'archivage des données selon une durée de conservation conforme aux obligations légales applicables. Cette exigence répond à un besoin exprimé par les utilisateurs métier lors des ateliers de cadrage. Le non-respect constaté de cette exigence ouvre un délai de reprise avant réception. Cette exigence a un impact direct sur l'expérience quotidienne des utilisateurs finaux du système.</w:t>
      </w:r>
    </w:p>
    <w:p>
      <w:r>
        <w:t>EF-69. Le système doit permettre l'ajout de capacité de stockage sans interruption de service. Cette exigence a été formulée à la suite des incidents constatés sur le système actuel. Cette exigence est validée par un test fonctionnel réalisé en présence d'un représentant de la Société Exemple. Le prestataire décrit dans son offre la manière dont il compte répondre à cette exigence, avec le niveau de détail attendu pour une consultation de ce type.</w:t>
      </w:r>
    </w:p>
    <w:p>
      <w:r>
        <w:t>EF-70. L'application livrée doit garantir la bascule automatique vers le site de secours en cas d'indisponibilité du site principal. Cette exigence contribue directement aux objectifs de qualité de service fixés pour la prestation. Le non-respect constaté de cette exigence ouvre un délai de reprise avant réception. La Société Exemple se réserve le droit de demander une démonstration anticipée de cette fonctionnalité avant la commande ferme.</w:t>
      </w:r>
    </w:p>
    <w:p>
      <w:r>
        <w:t>EF-71. Le dispositif mis en œuvre doit garantir la réplication des données critiques vers un second site distant. Cette exigence contribue directement aux objectifs de qualité de service fixés pour la prestation. Le prestataire documente la mise en œuvre de cette exigence dans le dossier de recette. Le prestataire décrit dans son offre la manière dont il compte répondre à cette exigence, avec le niveau de détail attendu pour une consultation de ce type.</w:t>
      </w:r>
    </w:p>
    <w:p>
      <w:r>
        <w:t>EF-72. L'outil déployé doit fournir une documentation d'exploitation permettant aux équipes internes d'assurer le support de premier niveau. Cette exigence vise à réduire le risque opérationnel identifié sur le périmètre actuel. Cette exigence est vérifiée par échantillonnage lors de la période d'observation. Une réponse partielle à cette exigence doit être explicitement signalée et justifiée dans l'offre du prestataire.</w:t>
      </w:r>
    </w:p>
    <w:p>
      <w:r>
        <w:t>EF-73. Le dispositif mis en œuvre doit permettre la définition de profils d'accès distincts selon le rôle de l'utilisateur. Cette exigence conditionne l'adhésion des utilisateurs finaux à la nouvelle solution. La démonstration de cette exigence est intégrée au plan de tests de recette. Une réponse partielle à cette exigence doit être explicitement signalée et justifiée dans l'offre du prestataire.</w:t>
      </w:r>
    </w:p>
    <w:p>
      <w:r>
        <w:t>EF-74. L'application livrée doit permettre la restitution d'un rapport de conformité des sauvegardes à la demande de la Société Exemple. Cette exigence contribue directement aux objectifs de qualité de service fixés pour la prestation. Le prestataire documente la mise en œuvre de cette exigence dans le dossier de recette. Cette exigence est reprise telle quelle dans le contrat final, sauf négociation explicite actée par écrit entre les parties.</w:t>
      </w:r>
    </w:p>
    <w:p>
      <w:r>
        <w:t>EF-75. Le système doit être disponible en français, langue de travail de la Société Exemple, pour l'ensemble des écrans et documents livrés. Cette exigence est jugée prioritaire par la Direction des Systèmes d'Information. Cette exigence est tracée dans la matrice de conformité remise avec l'offre. L'absence de cette fonctionnalité expose la Société Exemple à un risque opérationnel jugé significatif par la Direction des Systèmes d'Information.</w:t>
      </w:r>
    </w:p>
    <w:p>
      <w:r>
        <w:t>EF-76. L'outil déployé doit garantir la bascule automatique vers le site de secours en cas d'indisponibilité du site principal. Cette exigence vise à réduire le risque opérationnel identifié sur le périmètre actuel. Cette exigence est vérifiée par échantillonnage lors de la période d'observation. Cette exigence a un impact direct sur l'expérience quotidienne des utilisateurs finaux du système.</w:t>
      </w:r>
    </w:p>
    <w:p>
      <w:r>
        <w:t>EF-77. Le dispositif mis en œuvre doit garantir la bascule automatique vers le site de secours en cas d'indisponibilité du site principal. Cette exigence s'inscrit dans la politique de sécurité de la Société Exemple. La démonstration de cette exigence est intégrée au plan de tests de recette. L'absence de cette fonctionnalité expose la Société Exemple à un risque opérationnel jugé significatif par la Direction des Systèmes d'Information.</w:t>
      </w:r>
    </w:p>
    <w:p>
      <w:r>
        <w:t>EF-78. L'outil déployé doit journaliser l'ensemble des opérations sensibles, avec conservation des journaux pendant une durée conforme à la politique interne de la Société Exemple. Cette exigence conditionne l'adhésion des utilisateurs finaux à la nouvelle solution. Le non-respect constaté de cette exigence ouvre un délai de reprise avant réception. Cette exigence a un impact direct sur l'expérience quotidienne des utilisateurs finaux du système.</w:t>
      </w:r>
    </w:p>
    <w:p>
      <w:r>
        <w:t>EF-79. L'outil déployé doit permettre l'ajout de capacité de stockage sans interruption de service. Cette exigence répond à un besoin exprimé par les utilisateurs métier lors des ateliers de cadrage. Le non-respect constaté de cette exigence ouvre un délai de reprise avant réception. Une réponse partielle à cette exigence doit être explicitement signalée et justifiée dans l'offre du prestataire.</w:t>
      </w:r>
    </w:p>
    <w:p>
      <w:r>
        <w:t>EF-80. Le système doit garantir la conformité au Règlement Général sur la Protection des Données pour tout traitement de données à caractère personnel. Cette exigence répond à un besoin exprimé par les utilisateurs métier lors des ateliers de cadrage. Cette exigence fait l'objet d'un contrôle contradictoire entre le prestataire et les équipes de la Société Exemple. La Société Exemple se réserve le droit de demander une démonstration anticipée de cette fonctionnalité avant la commande ferme.</w:t>
      </w:r>
    </w:p>
    <w:p>
      <w:r>
        <w:t>EF-81. Le système doit fournir un mécanisme de restauration après incident sans perte de données au-delà de l'objectif de point de reprise convenu. Cette exigence conditionne l'adhésion des utilisateurs finaux à la nouvelle solution. Cette exigence est vérifiée lors de la recette technique, sur la base d'un scénario de test documenté. Le prestataire décrit dans son offre la manière dont il compte répondre à cette exigence, avec le niveau de détail attendu pour une consultation de ce type.</w:t>
      </w:r>
    </w:p>
    <w:p>
      <w:r>
        <w:t>EF-82. La solution retenue doit permettre la remontée d'alerte vers l'équipe d'astreinte en cas d'anomalie bloquante. Cette exigence vise à réduire le risque opérationnel identifié sur le périmètre actuel. Le non-respect constaté de cette exigence ouvre un délai de reprise avant réception. Le prestataire décrit dans son offre la manière dont il compte répondre à cette exigence, avec le niveau de détail attendu pour une consultation de ce type.</w:t>
      </w:r>
    </w:p>
    <w:p>
      <w:r>
        <w:t>EF-83. Le système doit fournir une documentation d'exploitation permettant aux équipes internes d'assurer le support de premier niveau. Cette exigence a été formulée à la suite des incidents constatés sur le système actuel. La démonstration de cette exigence est intégrée au plan de tests de recette. La Société Exemple se réserve le droit de demander une démonstration anticipée de cette fonctionnalité avant la commande ferme.</w:t>
      </w:r>
    </w:p>
    <w:p>
      <w:r>
        <w:t>EF-84. L'application livrée doit alerter automatiquement les équipes d'astreinte en cas de dépassement d'un seuil de capacité critique. Cette exigence a été formulée à la suite des incidents constatés sur le système actuel. La démonstration de cette exigence est intégrée au plan de tests de recette. L'absence de cette fonctionnalité expose la Société Exemple à un risque opérationnel jugé significatif par la Direction des Systèmes d'Information.</w:t>
      </w:r>
    </w:p>
    <w:p>
      <w:r>
        <w:t>EF-85. L'outil déployé doit permettre l'archivage des données selon une durée de conservation conforme aux obligations légales applicables. Cette exigence vise à réduire le risque opérationnel identifié sur le périmètre actuel. Le respect de cette exigence conditionne le prononcé de la réception provisoire. Cette exigence a un impact direct sur l'expérience quotidienne des utilisateurs finaux du système.</w:t>
      </w:r>
    </w:p>
    <w:p>
      <w:r>
        <w:t>EF-86. Le système doit garantir la bascule automatique vers le site de secours en cas d'indisponibilité du site principal. Cette exigence a été formulée à la suite des incidents constatés sur le système actuel. La démonstration de cette exigence est intégrée au plan de tests de recette. Cette exigence a un impact direct sur l'expérience quotidienne des utilisateurs finaux du système.</w:t>
      </w:r>
    </w:p>
    <w:p>
      <w:r>
        <w:t>EF-87. Le système doit permettre la restauration d'une machine virtuelle individuelle sans impact sur les autres services hébergés. Cette exigence est jugée prioritaire par la Direction des Systèmes d'Information. Cette exigence est vérifiée lors de la recette technique, sur la base d'un scénario de test documenté. Une réponse partielle à cette exigence doit être explicitement signalée et justifiée dans l'offre du prestataire.</w:t>
      </w:r>
    </w:p>
    <w:p>
      <w:r>
        <w:t>EF-88. L'outil déployé doit fournir un mécanisme de restauration après incident sans perte de données au-delà de l'objectif de point de reprise convenu. Cette exigence s'inscrit dans la politique de sécurité de la Société Exemple. Cette exigence est tracée dans la matrice de conformité remise avec l'offre. Cette exigence est reprise telle quelle dans le contrat final, sauf négociation explicite actée par écrit entre les parties.</w:t>
      </w:r>
    </w:p>
    <w:p>
      <w:pPr>
        <w:pStyle w:val="Heading2"/>
      </w:pPr>
      <w:r>
        <w:t>6. Spécifications techniques</w:t>
      </w:r>
    </w:p>
    <w:p>
      <w:r>
        <w:t>Les exigences techniques chiffrées applicables à la prestation sont précisées dans le tableau ci-dessous. Toute déviation par rapport à ces valeurs doit être justifiée explicitement dans l'offre du prestataire, avec une solution de compensation équivalente proposée par le prestataire.</w:t>
      </w:r>
    </w:p>
    <w:p>
      <w:r>
        <w:t>| Exigence | Valeur cible | Nature | Commentaire |</w:t>
      </w:r>
    </w:p>
    <w:p>
      <w:r>
        <w:t>|---|---|---|---|</w:t>
      </w:r>
    </w:p>
    <w:p>
      <w:r>
        <w:t>| Capacité de stockage utile | 200 To après redondance | Contractuelle | Mesurée sur une fenêtre glissante de 30 jours calendaires. |</w:t>
      </w:r>
    </w:p>
    <w:p>
      <w:r>
        <w:t>| RPO | 12 heures maximum | Contractuelle | Applicable dès la réception provisoire de la prestation. |</w:t>
      </w:r>
    </w:p>
    <w:p>
      <w:r>
        <w:t>| Redondance électrique | Double arrivée | Technique | Constatée par un relevé automatique de supervision. |</w:t>
      </w:r>
    </w:p>
    <w:p>
      <w:r>
        <w:t>| Supervision | Centralisée, alertes temps réel | Fonctionnelle | Toute dérogation doit être validée par écrit par la Direction des Systèmes d'Information. |</w:t>
      </w:r>
    </w:p>
    <w:p>
      <w:r>
        <w:t>| Rétention des sauvegardes | 60 jours glissants | Contractuelle | Constatée par un relevé automatique de supervision. |</w:t>
      </w:r>
    </w:p>
    <w:p>
      <w:r>
        <w:t>| RTO | 48 heures maximum | Contractuelle | Contrôlée par sondage pendant la période de garantie. |</w:t>
      </w:r>
    </w:p>
    <w:p>
      <w:r>
        <w:t>| Virtualisation | Compatible hyperviseur existant | Technique | Applicable dès la réception provisoire de la prestation. |</w:t>
      </w:r>
    </w:p>
    <w:p>
      <w:r>
        <w:t>| Tests de restauration | Documentés avant réception | Contractuelle | Rappelée dans la documentation d'exploitation livrée par le prestataire. |</w:t>
      </w:r>
    </w:p>
    <w:p>
      <w:r>
        <w:t>| Autonomie électrique | 15 minutes minimum | Contractuelle | Mesurée sur une fenêtre glissante de 30 jours calendaires. |</w:t>
      </w:r>
    </w:p>
    <w:p>
      <w:r>
        <w:t>| Chiffrement des données | Au repos et en transit | Sécurité | Constatée par un relevé automatique de supervision. |</w:t>
      </w:r>
    </w:p>
    <w:p>
      <w:r>
        <w:t>Le prestataire précise dans son offre, pour chaque exigence, la méthode retenue pour en démontrer le respect lors de la recette.</w:t>
      </w:r>
    </w:p>
    <w:p>
      <w:pPr>
        <w:pStyle w:val="Heading2"/>
      </w:pPr>
      <w:r>
        <w:t>7. Contraintes et normes applicables</w:t>
      </w:r>
    </w:p>
    <w:p>
      <w:r>
        <w:t>Le prestataire s'engage à respecter, pour l'ensemble de la prestation, les normes et réglementations suivantes :</w:t>
      </w:r>
    </w:p>
    <w:p>
      <w:r>
        <w:t>- Réglementation marocaine relative à la protection des données à caractère personnel. Toute non-conformité constatée est corrigée aux frais du prestataire avant la réception.</w:t>
      </w:r>
    </w:p>
    <w:p>
      <w:r>
        <w:t>- Règles internes d'achat et de qualification des prestataires. Toute non-conformité constatée est corrigée aux frais du prestataire avant la réception.</w:t>
      </w:r>
    </w:p>
    <w:p>
      <w:r>
        <w:t>- Normes constructeur relatives à l'alimentation électrique. Le prestataire produit les preuves de conformité correspondantes sur demande de la Société Exemple.</w:t>
      </w:r>
    </w:p>
    <w:p>
      <w:r>
        <w:t>- Charte informatique interne de la Société Exemple. Cette exigence s'applique pour toute la durée du marché, y compris pendant la période de garantie.</w:t>
      </w:r>
    </w:p>
    <w:p>
      <w:r>
        <w:t>- Politique de sécurité des systèmes d'information de la Société Exemple. Le prestataire produit les preuves de conformité correspondantes sur demande de la Société Exemple.</w:t>
      </w:r>
    </w:p>
    <w:p>
      <w:r>
        <w:t>- Règlement Général sur la Protection des Données (RGPD). Le respect de cette norme est vérifié lors de l'audit de recette.</w:t>
      </w:r>
    </w:p>
    <w:p>
      <w:r>
        <w:t>- ISO 22301 (continuité d'activité). Le respect de cette norme est vérifié lors de l'audit de recette.</w:t>
      </w:r>
    </w:p>
    <w:p>
      <w:r>
        <w:t>- ISO/IEC 27001. Le respect de cette norme est vérifié lors de l'audit de recette.</w:t>
      </w:r>
    </w:p>
    <w:p>
      <w:pPr>
        <w:pStyle w:val="Heading2"/>
      </w:pPr>
      <w:r>
        <w:t>8. Niveaux de service attendus</w:t>
      </w:r>
    </w:p>
    <w:p>
      <w:r>
        <w:t>Le taux de disponibilité mensuel minimal exigé est de 99,9 %, mesuré sur les heures ouvrées de la Société Exemple. La Garantie de Temps d'Intervention (GTI) et la Garantie de Temps de Rétablissement (GTR) sont fixées ci-dessous, en heures ouvrées à compter de l'ouverture du ticket d'incident.</w:t>
      </w:r>
    </w:p>
    <w:p>
      <w:r>
        <w:t>En cas de dépassement de la GTR, le prestataire en informe sans délai la Société Exemple et propose un plan d'action correctif dans les 24 heures suivant le dépassement constaté.</w:t>
      </w:r>
    </w:p>
    <w:p>
      <w:r>
        <w:t>| Indicateur | Cible | Modalité de mesure |</w:t>
      </w:r>
    </w:p>
    <w:p>
      <w:r>
        <w:t>|---|---|---|</w:t>
      </w:r>
    </w:p>
    <w:p>
      <w:r>
        <w:t>| Taux de disponibilité mensuel | 99,9 % | Relevé mensuel de supervision |</w:t>
      </w:r>
    </w:p>
    <w:p>
      <w:r>
        <w:t>| Garantie de Temps d'Intervention (GTI) | 8 heures ouvrées | Depuis l'ouverture du ticket |</w:t>
      </w:r>
    </w:p>
    <w:p>
      <w:r>
        <w:t>| Garantie de Temps de Rétablissement (GTR) | 8 heures ouvrées | Depuis l'ouverture du ticket |</w:t>
      </w:r>
    </w:p>
    <w:p>
      <w:r>
        <w:t>| Criticité bloquante | Priorité 1, traitement immédiat | Astreinte |</w:t>
      </w:r>
    </w:p>
    <w:p>
      <w:r>
        <w:t>| Criticité majeure | Priorité 2, GTR x 2 | Heures ouvrées |</w:t>
      </w:r>
    </w:p>
    <w:p>
      <w:r>
        <w:t>| Criticité mineure | Priorité 3, GTR x 4 | Heures ouvrées |</w:t>
      </w:r>
    </w:p>
    <w:p>
      <w:r>
        <w:t>| Fenêtre de mesure | Mensuelle glissante | Extraction de supervision |</w:t>
      </w:r>
    </w:p>
    <w:p>
      <w:r>
        <w:t>| Maintenance planifiée | Exclue du calcul de disponibilité | Notifiée 5 jours ouvrés à l'avance |</w:t>
      </w:r>
    </w:p>
    <w:p>
      <w:r>
        <w:t>La disponibilité est calculée mensuellement selon la formule usuelle du temps de fonctionnement rapporté au temps total de la période, hors fenêtres de maintenance planifiée notifiées au préalable à la Société Exemple. Un relevé détaillé est transmis chaque début de mois, accompagné de la liste des incidents survenus et de leur temps de résolution respectif.</w:t>
      </w:r>
    </w:p>
    <w:p>
      <w:r>
        <w:t>Toute contestation d'un relevé doit être formulée par écrit dans un délai de dix jours ouvrés suivant sa réception, faute de quoi le relevé est réputé accepté par la Société Exemple.</w:t>
      </w:r>
    </w:p>
    <w:p>
      <w:pPr>
        <w:pStyle w:val="Heading2"/>
      </w:pPr>
      <w:r>
        <w:t>9. Livrables attendus</w:t>
      </w:r>
    </w:p>
    <w:p>
      <w:r>
        <w:t>| Livrable | Format | Échéance | Observation |</w:t>
      </w:r>
    </w:p>
    <w:p>
      <w:r>
        <w:t>|---|---|---|---|</w:t>
      </w:r>
    </w:p>
    <w:p>
      <w:r>
        <w:t>| Dossier de dimensionnement | PDF | Avant le démarrage des travaux | Versionné et archivé par le prestataire pendant toute la durée du marché. |</w:t>
      </w:r>
    </w:p>
    <w:p>
      <w:r>
        <w:t>| Plan de migration | PDF | Avant la bascule | Validé conjointement par le prestataire et la Société Exemple avant diffusion. |</w:t>
      </w:r>
    </w:p>
    <w:p>
      <w:r>
        <w:t>| Rapport de tests de restauration | PDF | Avant la réception définitive | Rédigé en français, conforme au gabarit documentaire de la Société Exemple. |</w:t>
      </w:r>
    </w:p>
    <w:p>
      <w:r>
        <w:t>| Documentation d'exploitation | PDF | À la réception provisoire | Mis à jour à chaque évolution significative constatée en cours de prestation. |</w:t>
      </w:r>
    </w:p>
    <w:p>
      <w:r>
        <w:t>| Support de formation des équipes d'administration | PDF / PPTX | À la réception provisoire | Rédigé en français, conforme au gabarit documentaire de la Société Exemple. |</w:t>
      </w:r>
    </w:p>
    <w:p>
      <w:r>
        <w:t>| Procédure de reprise d'activité | PDF | À la réception définitive | Validé conjointement par le prestataire et la Société Exemple avant diffusion. |</w:t>
      </w:r>
    </w:p>
    <w:p>
      <w:r>
        <w:t>| Registre des tests de restauration | Tableur | À la réception définitive | Remis au format électronique via l'espace projet partagé. |</w:t>
      </w:r>
    </w:p>
    <w:p>
      <w:r>
        <w:t>Chaque livrable fait l'objet d'une vérification de conformité par la Société Exemple avant acceptation. Un livrable rejeté est repris par le prestataire sans incidence sur le délai contractuel global, sauf si le rejet résulte d'une modification du périmètre demandée par la Société Exemple.</w:t>
      </w:r>
    </w:p>
    <w:p>
      <w:pPr>
        <w:pStyle w:val="Heading2"/>
      </w:pPr>
      <w:r>
        <w:t>10. Planning et jalons</w:t>
      </w:r>
    </w:p>
    <w:p>
      <w:r>
        <w:t>Le projet est découpé en phases successives, chacune donnant lieu à un jalon de validation formalisé par un compte-rendu contradictoire entre le prestataire et la Société Exemple. Le passage à la phase suivante est conditionné à la levée des réserves éventuelles de la phase précédente.</w:t>
      </w:r>
    </w:p>
    <w:p>
      <w:r>
        <w:t>Phase 1 — Cadrage et validation de l'architecture cible : 2 semaines. Cette phase se conclut par un jalon formel dont la validation conditionne le démarrage de la phase suivante.</w:t>
      </w:r>
    </w:p>
    <w:p>
      <w:r>
        <w:t xml:space="preserve">  - Mise à jour du registre des risques.</w:t>
      </w:r>
    </w:p>
    <w:p>
      <w:r>
        <w:t xml:space="preserve">  - Recueil des réserves éventuelles et plan de levée associé.</w:t>
      </w:r>
    </w:p>
    <w:p>
      <w:r>
        <w:t xml:space="preserve">  - Rédaction et diffusion du compte-rendu de phase.</w:t>
      </w:r>
    </w:p>
    <w:p>
      <w:r>
        <w:t xml:space="preserve">  - Point d'avancement hebdomadaire avec le chef de projet Société Exemple.</w:t>
      </w:r>
    </w:p>
    <w:p>
      <w:r>
        <w:t>Phase 2 — Approvisionnement et préparation : 4 semaines. Cette phase se conclut par un jalon formel dont la validation conditionne le démarrage de la phase suivante.</w:t>
      </w:r>
    </w:p>
    <w:p>
      <w:r>
        <w:t xml:space="preserve">  - Mise à jour du registre des risques.</w:t>
      </w:r>
    </w:p>
    <w:p>
      <w:r>
        <w:t xml:space="preserve">  - Vérification des prérequis de la phase suivante.</w:t>
      </w:r>
    </w:p>
    <w:p>
      <w:r>
        <w:t xml:space="preserve">  - Validation du jalon par le comité de pilotage.</w:t>
      </w:r>
    </w:p>
    <w:p>
      <w:r>
        <w:t xml:space="preserve">  - Point d'avancement hebdomadaire avec le chef de projet Société Exemple.</w:t>
      </w:r>
    </w:p>
    <w:p>
      <w:r>
        <w:t>Phase 3 — Réalisation / déploiement : 7 semaines. Cette phase se conclut par un jalon formel dont la validation conditionne le démarrage de la phase suivante.</w:t>
      </w:r>
    </w:p>
    <w:p>
      <w:r>
        <w:t xml:space="preserve">  - Vérification des prérequis de la phase suivante.</w:t>
      </w:r>
    </w:p>
    <w:p>
      <w:r>
        <w:t xml:space="preserve">  - Mise à jour du registre des risques.</w:t>
      </w:r>
    </w:p>
    <w:p>
      <w:r>
        <w:t xml:space="preserve">  - Recueil des réserves éventuelles et plan de levée associé.</w:t>
      </w:r>
    </w:p>
    <w:p>
      <w:r>
        <w:t xml:space="preserve">  - Validation du jalon par le comité de pilotage.</w:t>
      </w:r>
    </w:p>
    <w:p>
      <w:r>
        <w:t>Phase 4 — Tests et recette : 2 semaines. Cette phase se conclut par un jalon formel dont la validation conditionne le démarrage de la phase suivante.</w:t>
      </w:r>
    </w:p>
    <w:p>
      <w:r>
        <w:t xml:space="preserve">  - Mise à jour du registre des risques.</w:t>
      </w:r>
    </w:p>
    <w:p>
      <w:r>
        <w:t xml:space="preserve">  - Mise à jour du planning détaillé partagé avec la Société Exemple.</w:t>
      </w:r>
    </w:p>
    <w:p>
      <w:r>
        <w:t xml:space="preserve">  - Validation du jalon par le comité de pilotage.</w:t>
      </w:r>
    </w:p>
    <w:p>
      <w:r>
        <w:t xml:space="preserve">  - Vérification des prérequis de la phase suivante.</w:t>
      </w:r>
    </w:p>
    <w:p>
      <w:r>
        <w:t>Phase 5 — Formation des équipes internes : 1 semaine. Cette phase se conclut par un jalon formel dont la validation conditionne le démarrage de la phase suivante.</w:t>
      </w:r>
    </w:p>
    <w:p>
      <w:r>
        <w:t xml:space="preserve">  - Mise à jour du registre des risques.</w:t>
      </w:r>
    </w:p>
    <w:p>
      <w:r>
        <w:t xml:space="preserve">  - Rédaction et diffusion du compte-rendu de phase.</w:t>
      </w:r>
    </w:p>
    <w:p>
      <w:r>
        <w:t xml:space="preserve">  - Recueil des réserves éventuelles et plan de levée associé.</w:t>
      </w:r>
    </w:p>
    <w:p>
      <w:r>
        <w:t xml:space="preserve">  - Validation du jalon par le comité de pilotage.</w:t>
      </w:r>
    </w:p>
    <w:p>
      <w:r>
        <w:t>Phase 6 — Bascule en production : 1 semaine. Cette phase se conclut par un jalon formel dont la validation conditionne le démarrage de la phase suivante.</w:t>
      </w:r>
    </w:p>
    <w:p>
      <w:r>
        <w:t xml:space="preserve">  - Recueil des réserves éventuelles et plan de levée associé.</w:t>
      </w:r>
    </w:p>
    <w:p>
      <w:r>
        <w:t xml:space="preserve">  - Mise à jour du registre des risques.</w:t>
      </w:r>
    </w:p>
    <w:p>
      <w:r>
        <w:t xml:space="preserve">  - Rédaction et diffusion du compte-rendu de phase.</w:t>
      </w:r>
    </w:p>
    <w:p>
      <w:r>
        <w:t xml:space="preserve">  - Validation du jalon par le comité de pilotage.</w:t>
      </w:r>
    </w:p>
    <w:p>
      <w:r>
        <w:t>Phase 7 — Période d'observation avant réception définitive : 1 semaine. Cette phase se conclut par un jalon formel dont la validation conditionne le démarrage de la phase suivante.</w:t>
      </w:r>
    </w:p>
    <w:p>
      <w:r>
        <w:t xml:space="preserve">  - Mise à jour du planning détaillé partagé avec la Société Exemple.</w:t>
      </w:r>
    </w:p>
    <w:p>
      <w:r>
        <w:t xml:space="preserve">  - Rédaction et diffusion du compte-rendu de phase.</w:t>
      </w:r>
    </w:p>
    <w:p>
      <w:r>
        <w:t xml:space="preserve">  - Mise à jour du registre des risques.</w:t>
      </w:r>
    </w:p>
    <w:p>
      <w:r>
        <w:t xml:space="preserve">  - Recueil des réserves éventuelles et plan de levée associé.</w:t>
      </w:r>
    </w:p>
    <w:p>
      <w:pPr>
        <w:pStyle w:val="Heading2"/>
      </w:pPr>
      <w:r>
        <w:t>11. Délais, pénalités et garanties</w:t>
      </w:r>
    </w:p>
    <w:p>
      <w:r>
        <w:t>Le respect du calendrier contractuel constitue une obligation essentielle du prestataire. Tout risque de dérive doit être signalé sans délai à la Société Exemple, accompagné d'un plan de récupération proposé par le prestataire.</w:t>
      </w:r>
    </w:p>
    <w:p>
      <w:r>
        <w:t>Le délai global d'exécution est fixé à 75 jours calendaires à compter de la notification de l'ordre de service. Ce délai est ferme et non révisable, sauf cas de force majeure dûment notifié par écrit dans les cinq jours ouvrés suivant sa survenance.</w:t>
      </w:r>
    </w:p>
    <w:p>
      <w:r>
        <w:t>En cas de retard imputable au prestataire, une pénalité de 0,8 % du montant total du marché est appliquée par jour calendaire de retard. Le montant cumulé des pénalités est plafonné à 5 % du montant du marché. Au-delà de ce plafond, la Société Exemple se réserve le droit de résilier le marché aux torts exclusifs du prestataire, sans préjudice des dommages et intérêts.</w:t>
      </w:r>
    </w:p>
    <w:p>
      <w:r>
        <w:t>La prestation est garantie 12 mois à compter de la date de réception définitive. Pendant cette période, le prestataire assure sans frais supplémentaires la correction de toute anomalie ainsi que le remplacement des éléments défectueux.</w:t>
      </w:r>
    </w:p>
    <w:p>
      <w:r>
        <w:t>À l'expiration de la garantie, un contrat de maintenance pourra être conclu par avenant, aux conditions tarifaires proposées dans l'offre initiale. Le prestataire communique, avant l'échéance de la garantie, un état des lieux détaillé du périmètre couvert, permettant à la Société Exemple d'apprécier l'opportunité de reconduire la relation contractuelle.</w:t>
      </w:r>
    </w:p>
    <w:p>
      <w:pPr>
        <w:pStyle w:val="Heading2"/>
      </w:pPr>
      <w:r>
        <w:t>12. Conditions financières</w:t>
      </w:r>
    </w:p>
    <w:p>
      <w:r>
        <w:t>Le montant prévisionnel de la prestation est estimé à 350 000 dirhams hors taxes. Le règlement intervient dans un délai de 60 jours à compter de la réception de la facture, sous réserve de la levée de toute réserve formulée lors de la réception.</w:t>
      </w:r>
    </w:p>
    <w:p>
      <w:r>
        <w:t>Une retenue de garantie de 5 % est appliquée sur chaque situation et libérée à la réception définitive. Le prestataire fournit une décomposition détaillée du prix global forfaitaire, distinguant la part matérielle, la part logicielle et la part prestation de services.</w:t>
      </w:r>
    </w:p>
    <w:p>
      <w:r>
        <w:t>Les factures sont établies selon les jalons décrits au chapitre Planning et jalons, et accompagnées des pièces justificatives requises par la Direction Financière de la Société Exemple. Toute facture incomplète est retournée au prestataire et suspend le délai de règlement jusqu'à régularisation.</w:t>
      </w:r>
    </w:p>
    <w:p>
      <w:r>
        <w:t>Les prix proposés sont réputés fermes pour toute la durée du marché, hors avenant expressément approuvé par les deux parties.</w:t>
      </w:r>
    </w:p>
    <w:p>
      <w:pPr>
        <w:pStyle w:val="Heading2"/>
      </w:pPr>
      <w:r>
        <w:t>13. Critères d'évaluation des offres</w:t>
      </w:r>
    </w:p>
    <w:p>
      <w:r>
        <w:t>Les offres sont évaluées selon les critères pondérés ci-dessous, sur la base d'une notation à 100 points. Toute offre incomplète au regard des exigences obligatoires du présent cahier des charges est déclarée irrecevable et n'est pas notée.</w:t>
      </w:r>
    </w:p>
    <w:p>
      <w:r>
        <w:t>| Critère | Pondération |</w:t>
      </w:r>
    </w:p>
    <w:p>
      <w:r>
        <w:t>|---|---|</w:t>
      </w:r>
    </w:p>
    <w:p>
      <w:r>
        <w:t>| Prix | 35 % |</w:t>
      </w:r>
    </w:p>
    <w:p>
      <w:r>
        <w:t>| Valeur technique — méthodologie proposée | 20 % |</w:t>
      </w:r>
    </w:p>
    <w:p>
      <w:r>
        <w:t>| Valeur technique — moyens humains dédiés | 20 % |</w:t>
      </w:r>
    </w:p>
    <w:p>
      <w:r>
        <w:t>| Délai d'exécution proposé | 15 % |</w:t>
      </w:r>
    </w:p>
    <w:p>
      <w:r>
        <w:t>| Références et expérience du prestataire | 10 % |</w:t>
      </w:r>
    </w:p>
    <w:p>
      <w:r>
        <w:t>La notation prix est calculée au prorata de l'offre la mieux-disante. La notation technique est établie par une commission d'évaluation interne, sur la base d'une grille de critères communiquée aux candidats sur demande. Un écart significatif entre deux offres sur un même critère est motivé par écrit dans le rapport d'analyse des offres.</w:t>
      </w:r>
    </w:p>
    <w:p>
      <w:pPr>
        <w:pStyle w:val="Heading2"/>
      </w:pPr>
      <w:r>
        <w:t>14. Annexes</w:t>
      </w:r>
    </w:p>
    <w:p>
      <w:r>
        <w:t>Le prestataire joint à son offre les pièces suivantes, sans lesquelles l'offre peut être déclarée irrecevable :</w:t>
      </w:r>
    </w:p>
    <w:p>
      <w:r>
        <w:t>- Planning prévisionnel détaillé de la prestation.</w:t>
      </w:r>
    </w:p>
    <w:p>
      <w:r>
        <w:t>- Références de prestations similaires réalisées au cours des trois dernières années.</w:t>
      </w:r>
    </w:p>
    <w:p>
      <w:r>
        <w:t>- Grille de prix détaillée par poste.</w:t>
      </w:r>
    </w:p>
    <w:p>
      <w:r>
        <w:t>- Attestation de régularité fiscale et sociale.</w:t>
      </w:r>
    </w:p>
    <w:p>
      <w:r>
        <w:t>- Modèle de plan d'assurance qualité.</w:t>
      </w:r>
    </w:p>
    <w:p>
      <w:r>
        <w:t>- Organigramme de l'équipe projet proposée.</w:t>
      </w:r>
    </w:p>
    <w:p>
      <w:r>
        <w:t>- Attestation d'assurance responsabilité civile professionnelle.</w:t>
      </w:r>
    </w:p>
    <w:p>
      <w:r>
        <w:t>- Fiches techniques des équipements et logiciels proposés.</w:t>
      </w:r>
    </w:p>
    <w:p>
      <w:r>
        <w:t>- Attestations de qualification et certifications applicables.</w:t>
      </w:r>
    </w:p>
    <w:p>
      <w:r>
        <w:t>- Modèle de rapport d'intervention ou de recette proposé.</w:t>
      </w:r>
    </w:p>
    <w:p>
      <w:r>
        <w:t>- Curriculum vitae des intervenants dédiés à la prestation.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Cahier des charges CDC-2025-118 — Confidentiel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C3F60"/>
      </w:rPr>
      <w:t>SOCIÉTÉ EXEMPLE — Direction des Systèmes d'Information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