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5C36" w:rsidRPr="004B5C36" w:rsidRDefault="004B5C36" w:rsidP="004B5C36">
      <w:pPr>
        <w:rPr>
          <w:b/>
          <w:bCs/>
        </w:rPr>
      </w:pPr>
      <w:r w:rsidRPr="004B5C36">
        <w:rPr>
          <w:b/>
          <w:bCs/>
        </w:rPr>
        <w:t>Information &amp; Decisions Requested — Enterprise AI Monitoring &amp; Optimisation Foundry</w:t>
      </w:r>
    </w:p>
    <w:p w:rsidR="004B5C36" w:rsidRPr="004B5C36" w:rsidRDefault="004B5C36" w:rsidP="004B5C36">
      <w:r w:rsidRPr="004B5C36">
        <w:t xml:space="preserve">From: Euphoria </w:t>
      </w:r>
      <w:proofErr w:type="spellStart"/>
      <w:r w:rsidRPr="004B5C36">
        <w:t>Infotech</w:t>
      </w:r>
      <w:proofErr w:type="spellEnd"/>
      <w:r w:rsidRPr="004B5C36">
        <w:t xml:space="preserve"> India Limited (Sector V, Kolkata) To: Ion Exchange (India) Ltd., Bangalore Date: 17 August 2026 Reference: Statement of Work — </w:t>
      </w:r>
      <w:r w:rsidRPr="004B5C36">
        <w:rPr>
          <w:i/>
          <w:iCs/>
        </w:rPr>
        <w:t>Enterprise AI Monitoring &amp; Optimisation Foundry</w:t>
      </w:r>
    </w:p>
    <w:p w:rsidR="004B5C36" w:rsidRPr="004B5C36" w:rsidRDefault="004B5C36" w:rsidP="004B5C36">
      <w:r w:rsidRPr="004B5C36">
        <w:pict>
          <v:rect id="_x0000_i1025" style="width:0;height:0" o:hralign="center" o:hrstd="t" o:hr="t" fillcolor="#a0a0a0" stroked="f"/>
        </w:pict>
      </w:r>
    </w:p>
    <w:p w:rsidR="004B5C36" w:rsidRPr="004B5C36" w:rsidRDefault="004B5C36" w:rsidP="004B5C36">
      <w:pPr>
        <w:rPr>
          <w:b/>
          <w:bCs/>
        </w:rPr>
      </w:pPr>
      <w:r w:rsidRPr="004B5C36">
        <w:rPr>
          <w:b/>
          <w:bCs/>
        </w:rPr>
        <w:t>1. Purpose of this document</w:t>
      </w:r>
    </w:p>
    <w:p w:rsidR="004B5C36" w:rsidRPr="004B5C36" w:rsidRDefault="004B5C36" w:rsidP="004B5C36">
      <w:r w:rsidRPr="004B5C36">
        <w:t>We have converted the Statement of Work into a detailed, sequenced delivery plan. The large majority of the platform can be built from the SOW as written, and that work is under way.</w:t>
      </w:r>
    </w:p>
    <w:p w:rsidR="004B5C36" w:rsidRPr="004B5C36" w:rsidRDefault="004B5C36" w:rsidP="004B5C36">
      <w:r w:rsidRPr="004B5C36">
        <w:t>This document lists only the points where the SOW is deliberately open and where our assumption, if wrong, would cost significant rework. Each request is tagged with the SOW clause it arises from.</w:t>
      </w:r>
    </w:p>
    <w:p w:rsidR="004B5C36" w:rsidRPr="004B5C36" w:rsidRDefault="004B5C36" w:rsidP="004B5C36">
      <w:r w:rsidRPr="004B5C36">
        <w:t xml:space="preserve">We have stated our current assumption wherever we hold one, both </w:t>
      </w:r>
      <w:proofErr w:type="spellStart"/>
      <w:r w:rsidRPr="004B5C36">
        <w:t>inline</w:t>
      </w:r>
      <w:proofErr w:type="spellEnd"/>
      <w:r w:rsidRPr="004B5C36">
        <w:t xml:space="preserve"> with each request and consolidated in section 4, so that nothing we are building on is left unsaid. In most cases the fastest possible reply is simply </w:t>
      </w:r>
      <w:r w:rsidRPr="004B5C36">
        <w:rPr>
          <w:i/>
          <w:iCs/>
        </w:rPr>
        <w:t>"assumption confirmed"</w:t>
      </w:r>
      <w:r w:rsidRPr="004B5C36">
        <w:t> — we are not asking Ion Exchange to design the platform, only to settle the inputs that only you can settle.</w:t>
      </w:r>
    </w:p>
    <w:p w:rsidR="004B5C36" w:rsidRPr="004B5C36" w:rsidRDefault="004B5C36" w:rsidP="004B5C36">
      <w:pPr>
        <w:rPr>
          <w:b/>
          <w:bCs/>
        </w:rPr>
      </w:pPr>
      <w:r w:rsidRPr="004B5C36">
        <w:rPr>
          <w:b/>
          <w:bCs/>
        </w:rPr>
        <w:t>2. How to respond</w:t>
      </w:r>
    </w:p>
    <w:p w:rsidR="004B5C36" w:rsidRPr="004B5C36" w:rsidRDefault="004B5C36" w:rsidP="004B5C36">
      <w:pPr>
        <w:numPr>
          <w:ilvl w:val="0"/>
          <w:numId w:val="1"/>
        </w:numPr>
      </w:pPr>
      <w:r w:rsidRPr="004B5C36">
        <w:t>Please use the accompanying Response Form, which lists every reference number below with space for the answer, an owner and a target date.</w:t>
      </w:r>
    </w:p>
    <w:p w:rsidR="004B5C36" w:rsidRPr="004B5C36" w:rsidRDefault="004B5C36" w:rsidP="004B5C36">
      <w:pPr>
        <w:numPr>
          <w:ilvl w:val="0"/>
          <w:numId w:val="1"/>
        </w:numPr>
      </w:pPr>
      <w:r w:rsidRPr="004B5C36">
        <w:t>Partial replies are welcome and useful. Please do not hold the whole set waiting for one answer.</w:t>
      </w:r>
    </w:p>
    <w:p w:rsidR="004B5C36" w:rsidRPr="004B5C36" w:rsidRDefault="004B5C36" w:rsidP="004B5C36">
      <w:pPr>
        <w:numPr>
          <w:ilvl w:val="0"/>
          <w:numId w:val="1"/>
        </w:numPr>
      </w:pPr>
      <w:r w:rsidRPr="004B5C36">
        <w:t>Where an item asks for a document, a redacted or anonymised copy is entirely acceptable.</w:t>
      </w:r>
    </w:p>
    <w:p w:rsidR="004B5C36" w:rsidRPr="004B5C36" w:rsidRDefault="004B5C36" w:rsidP="004B5C36">
      <w:pPr>
        <w:rPr>
          <w:b/>
          <w:bCs/>
        </w:rPr>
      </w:pPr>
      <w:r w:rsidRPr="004B5C36">
        <w:rPr>
          <w:b/>
          <w:bCs/>
        </w:rPr>
        <w:t>3. If only four items can be answered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2"/>
        <w:gridCol w:w="3177"/>
        <w:gridCol w:w="5297"/>
      </w:tblGrid>
      <w:tr w:rsidR="004B5C36" w:rsidRPr="004B5C36" w:rsidTr="004B5C36">
        <w:trPr>
          <w:tblHeader/>
          <w:tblCellSpacing w:w="15" w:type="dxa"/>
        </w:trPr>
        <w:tc>
          <w:tcPr>
            <w:tcW w:w="0" w:type="auto"/>
            <w:tcMar>
              <w:top w:w="90" w:type="dxa"/>
              <w:left w:w="90" w:type="dxa"/>
              <w:bottom w:w="90" w:type="dxa"/>
              <w:right w:w="90" w:type="dxa"/>
            </w:tcMar>
            <w:hideMark/>
          </w:tcPr>
          <w:p w:rsidR="004B5C36" w:rsidRPr="004B5C36" w:rsidRDefault="004B5C36" w:rsidP="004B5C36">
            <w:r w:rsidRPr="004B5C36">
              <w:t>Ref</w:t>
            </w:r>
          </w:p>
        </w:tc>
        <w:tc>
          <w:tcPr>
            <w:tcW w:w="0" w:type="auto"/>
            <w:tcMar>
              <w:top w:w="90" w:type="dxa"/>
              <w:left w:w="90" w:type="dxa"/>
              <w:bottom w:w="90" w:type="dxa"/>
              <w:right w:w="90" w:type="dxa"/>
            </w:tcMar>
            <w:hideMark/>
          </w:tcPr>
          <w:p w:rsidR="004B5C36" w:rsidRPr="004B5C36" w:rsidRDefault="004B5C36" w:rsidP="004B5C36">
            <w:r w:rsidRPr="004B5C36">
              <w:t>Request</w:t>
            </w:r>
          </w:p>
        </w:tc>
        <w:tc>
          <w:tcPr>
            <w:tcW w:w="0" w:type="auto"/>
            <w:tcMar>
              <w:top w:w="90" w:type="dxa"/>
              <w:left w:w="90" w:type="dxa"/>
              <w:bottom w:w="90" w:type="dxa"/>
              <w:right w:w="90" w:type="dxa"/>
            </w:tcMar>
            <w:hideMark/>
          </w:tcPr>
          <w:p w:rsidR="004B5C36" w:rsidRPr="004B5C36" w:rsidRDefault="004B5C36" w:rsidP="004B5C36">
            <w:r w:rsidRPr="004B5C36">
              <w:t>Why it is first</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t>A1</w:t>
            </w:r>
          </w:p>
        </w:tc>
        <w:tc>
          <w:tcPr>
            <w:tcW w:w="0" w:type="auto"/>
            <w:tcMar>
              <w:top w:w="90" w:type="dxa"/>
              <w:left w:w="90" w:type="dxa"/>
              <w:bottom w:w="90" w:type="dxa"/>
              <w:right w:w="90" w:type="dxa"/>
            </w:tcMar>
            <w:hideMark/>
          </w:tcPr>
          <w:p w:rsidR="004B5C36" w:rsidRPr="004B5C36" w:rsidRDefault="004B5C36" w:rsidP="004B5C36">
            <w:r w:rsidRPr="004B5C36">
              <w:t>A tag list from any one plant</w:t>
            </w:r>
          </w:p>
        </w:tc>
        <w:tc>
          <w:tcPr>
            <w:tcW w:w="0" w:type="auto"/>
            <w:tcMar>
              <w:top w:w="90" w:type="dxa"/>
              <w:left w:w="90" w:type="dxa"/>
              <w:bottom w:w="90" w:type="dxa"/>
              <w:right w:w="90" w:type="dxa"/>
            </w:tcMar>
            <w:hideMark/>
          </w:tcPr>
          <w:p w:rsidR="004B5C36" w:rsidRPr="004B5C36" w:rsidRDefault="004B5C36" w:rsidP="004B5C36">
            <w:r w:rsidRPr="004B5C36">
              <w:t>Unblocks the water-treatment template library, which is the single largest item currently waiting on input</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t>A2</w:t>
            </w:r>
          </w:p>
        </w:tc>
        <w:tc>
          <w:tcPr>
            <w:tcW w:w="0" w:type="auto"/>
            <w:tcMar>
              <w:top w:w="90" w:type="dxa"/>
              <w:left w:w="90" w:type="dxa"/>
              <w:bottom w:w="90" w:type="dxa"/>
              <w:right w:w="90" w:type="dxa"/>
            </w:tcMar>
            <w:hideMark/>
          </w:tcPr>
          <w:p w:rsidR="004B5C36" w:rsidRPr="004B5C36" w:rsidRDefault="004B5C36" w:rsidP="004B5C36">
            <w:r w:rsidRPr="004B5C36">
              <w:t>The boundary between your overlay and our foundation</w:t>
            </w:r>
          </w:p>
        </w:tc>
        <w:tc>
          <w:tcPr>
            <w:tcW w:w="0" w:type="auto"/>
            <w:tcMar>
              <w:top w:w="90" w:type="dxa"/>
              <w:left w:w="90" w:type="dxa"/>
              <w:bottom w:w="90" w:type="dxa"/>
              <w:right w:w="90" w:type="dxa"/>
            </w:tcMar>
            <w:hideMark/>
          </w:tcPr>
          <w:p w:rsidR="004B5C36" w:rsidRPr="004B5C36" w:rsidRDefault="004B5C36" w:rsidP="004B5C36">
            <w:r w:rsidRPr="004B5C36">
              <w:t>Determines the design of the AI/analytics layer under SOW §4</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t>A4</w:t>
            </w:r>
          </w:p>
        </w:tc>
        <w:tc>
          <w:tcPr>
            <w:tcW w:w="0" w:type="auto"/>
            <w:tcMar>
              <w:top w:w="90" w:type="dxa"/>
              <w:left w:w="90" w:type="dxa"/>
              <w:bottom w:w="90" w:type="dxa"/>
              <w:right w:w="90" w:type="dxa"/>
            </w:tcMar>
            <w:hideMark/>
          </w:tcPr>
          <w:p w:rsidR="004B5C36" w:rsidRPr="004B5C36" w:rsidRDefault="004B5C36" w:rsidP="004B5C36">
            <w:r w:rsidRPr="004B5C36">
              <w:t>Which protocol first, and the control-system details</w:t>
            </w:r>
          </w:p>
        </w:tc>
        <w:tc>
          <w:tcPr>
            <w:tcW w:w="0" w:type="auto"/>
            <w:tcMar>
              <w:top w:w="90" w:type="dxa"/>
              <w:left w:w="90" w:type="dxa"/>
              <w:bottom w:w="90" w:type="dxa"/>
              <w:right w:w="90" w:type="dxa"/>
            </w:tcMar>
            <w:hideMark/>
          </w:tcPr>
          <w:p w:rsidR="004B5C36" w:rsidRPr="004B5C36" w:rsidRDefault="004B5C36" w:rsidP="004B5C36">
            <w:r w:rsidRPr="004B5C36">
              <w:t>Each protocol adapter is a substantial, non-transferable piece of work</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t>A5</w:t>
            </w:r>
          </w:p>
        </w:tc>
        <w:tc>
          <w:tcPr>
            <w:tcW w:w="0" w:type="auto"/>
            <w:tcMar>
              <w:top w:w="90" w:type="dxa"/>
              <w:left w:w="90" w:type="dxa"/>
              <w:bottom w:w="90" w:type="dxa"/>
              <w:right w:w="90" w:type="dxa"/>
            </w:tcMar>
            <w:hideMark/>
          </w:tcPr>
          <w:p w:rsidR="004B5C36" w:rsidRPr="004B5C36" w:rsidRDefault="004B5C36" w:rsidP="004B5C36">
            <w:r w:rsidRPr="004B5C36">
              <w:t>Deployment model, and access to a real device</w:t>
            </w:r>
          </w:p>
        </w:tc>
        <w:tc>
          <w:tcPr>
            <w:tcW w:w="0" w:type="auto"/>
            <w:tcMar>
              <w:top w:w="90" w:type="dxa"/>
              <w:left w:w="90" w:type="dxa"/>
              <w:bottom w:w="90" w:type="dxa"/>
              <w:right w:w="90" w:type="dxa"/>
            </w:tcMar>
            <w:hideMark/>
          </w:tcPr>
          <w:p w:rsidR="004B5C36" w:rsidRPr="004B5C36" w:rsidRDefault="004B5C36" w:rsidP="004B5C36">
            <w:r w:rsidRPr="004B5C36">
              <w:t>Longest lead time in the engagement; until then all work is validated against a simulator</w:t>
            </w:r>
          </w:p>
        </w:tc>
      </w:tr>
    </w:tbl>
    <w:p w:rsidR="004B5C36" w:rsidRPr="004B5C36" w:rsidRDefault="004B5C36" w:rsidP="004B5C36">
      <w:r w:rsidRPr="004B5C36">
        <w:pict>
          <v:rect id="_x0000_i1026" style="width:0;height:0" o:hralign="center" o:hrstd="t" o:hr="t" fillcolor="#a0a0a0" stroked="f"/>
        </w:pict>
      </w:r>
    </w:p>
    <w:p w:rsidR="004B5C36" w:rsidRPr="004B5C36" w:rsidRDefault="004B5C36" w:rsidP="004B5C36">
      <w:pPr>
        <w:rPr>
          <w:b/>
          <w:bCs/>
        </w:rPr>
      </w:pPr>
      <w:r w:rsidRPr="004B5C36">
        <w:rPr>
          <w:b/>
          <w:bCs/>
        </w:rPr>
        <w:t>4. Our current assumptions — please confirm or correct</w:t>
      </w:r>
    </w:p>
    <w:p w:rsidR="004B5C36" w:rsidRPr="004B5C36" w:rsidRDefault="004B5C36" w:rsidP="004B5C36">
      <w:r w:rsidRPr="004B5C36">
        <w:lastRenderedPageBreak/>
        <w:t>Work is proceeding on the assumptions below. They are listed here in full so that none of them is silent. Where an assumption is right, </w:t>
      </w:r>
      <w:r w:rsidRPr="004B5C36">
        <w:rPr>
          <w:i/>
          <w:iCs/>
        </w:rPr>
        <w:t>"confirmed"</w:t>
      </w:r>
      <w:r w:rsidRPr="004B5C36">
        <w:t> is a complete answer and the fastest reply available to us — it is not a lesser one.</w:t>
      </w:r>
    </w:p>
    <w:p w:rsidR="004B5C36" w:rsidRPr="004B5C36" w:rsidRDefault="004B5C36" w:rsidP="004B5C36">
      <w:r w:rsidRPr="004B5C36">
        <w:t>Where we have deliberately made no </w:t>
      </w:r>
      <w:proofErr w:type="gramStart"/>
      <w:r w:rsidRPr="004B5C36">
        <w:t>assumption, that</w:t>
      </w:r>
      <w:proofErr w:type="gramEnd"/>
      <w:r w:rsidRPr="004B5C36">
        <w:t xml:space="preserve"> is stated too, because those items cannot be closed by us at all.</w:t>
      </w:r>
    </w:p>
    <w:p w:rsidR="004B5C36" w:rsidRPr="004B5C36" w:rsidRDefault="004B5C36" w:rsidP="004B5C36">
      <w:r w:rsidRPr="004B5C36">
        <w:rPr>
          <w:rFonts w:ascii="Arial" w:hAnsi="Arial" w:cs="Arial"/>
        </w:rPr>
        <w:t>▲</w:t>
      </w:r>
      <w:r w:rsidRPr="004B5C36">
        <w:t xml:space="preserve"> marks a proposed phasing rather than an assumption. The SOW requires these capabilities and we are not proposing to drop any of them — we are proposing an order, so that phase 1 delivers working depth on a first site rather than a thin version of everything. These five need your explicit agreement, not a silent confirmation, and we would rather they were discussed than assumed.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23"/>
        <w:gridCol w:w="6153"/>
        <w:gridCol w:w="2240"/>
      </w:tblGrid>
      <w:tr w:rsidR="004B5C36" w:rsidRPr="004B5C36" w:rsidTr="004B5C36">
        <w:trPr>
          <w:tblHeader/>
          <w:tblCellSpacing w:w="15" w:type="dxa"/>
        </w:trPr>
        <w:tc>
          <w:tcPr>
            <w:tcW w:w="0" w:type="auto"/>
            <w:tcMar>
              <w:top w:w="90" w:type="dxa"/>
              <w:left w:w="90" w:type="dxa"/>
              <w:bottom w:w="90" w:type="dxa"/>
              <w:right w:w="90" w:type="dxa"/>
            </w:tcMar>
            <w:hideMark/>
          </w:tcPr>
          <w:p w:rsidR="004B5C36" w:rsidRPr="004B5C36" w:rsidRDefault="004B5C36" w:rsidP="004B5C36">
            <w:r w:rsidRPr="004B5C36">
              <w:t>Ref</w:t>
            </w:r>
          </w:p>
        </w:tc>
        <w:tc>
          <w:tcPr>
            <w:tcW w:w="0" w:type="auto"/>
            <w:tcMar>
              <w:top w:w="90" w:type="dxa"/>
              <w:left w:w="90" w:type="dxa"/>
              <w:bottom w:w="90" w:type="dxa"/>
              <w:right w:w="90" w:type="dxa"/>
            </w:tcMar>
            <w:hideMark/>
          </w:tcPr>
          <w:p w:rsidR="004B5C36" w:rsidRPr="004B5C36" w:rsidRDefault="004B5C36" w:rsidP="004B5C36">
            <w:r w:rsidRPr="004B5C36">
              <w:t>Our current assumption</w:t>
            </w:r>
          </w:p>
        </w:tc>
        <w:tc>
          <w:tcPr>
            <w:tcW w:w="0" w:type="auto"/>
            <w:tcMar>
              <w:top w:w="90" w:type="dxa"/>
              <w:left w:w="90" w:type="dxa"/>
              <w:bottom w:w="90" w:type="dxa"/>
              <w:right w:w="90" w:type="dxa"/>
            </w:tcMar>
            <w:hideMark/>
          </w:tcPr>
          <w:p w:rsidR="004B5C36" w:rsidRPr="004B5C36" w:rsidRDefault="004B5C36" w:rsidP="004B5C36">
            <w:r w:rsidRPr="004B5C36">
              <w:t>If it is wrong</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t>A1</w:t>
            </w:r>
          </w:p>
        </w:tc>
        <w:tc>
          <w:tcPr>
            <w:tcW w:w="0" w:type="auto"/>
            <w:tcMar>
              <w:top w:w="90" w:type="dxa"/>
              <w:left w:w="90" w:type="dxa"/>
              <w:bottom w:w="90" w:type="dxa"/>
              <w:right w:w="90" w:type="dxa"/>
            </w:tcMar>
            <w:hideMark/>
          </w:tcPr>
          <w:p w:rsidR="004B5C36" w:rsidRPr="004B5C36" w:rsidRDefault="004B5C36" w:rsidP="004B5C36">
            <w:r w:rsidRPr="004B5C36">
              <w:t>In the absence of a real tag list, we are designing water templates by inference from the remote-monitoring packages IESL publishes.</w:t>
            </w:r>
          </w:p>
        </w:tc>
        <w:tc>
          <w:tcPr>
            <w:tcW w:w="0" w:type="auto"/>
            <w:tcMar>
              <w:top w:w="90" w:type="dxa"/>
              <w:left w:w="90" w:type="dxa"/>
              <w:bottom w:w="90" w:type="dxa"/>
              <w:right w:w="90" w:type="dxa"/>
            </w:tcMar>
            <w:hideMark/>
          </w:tcPr>
          <w:p w:rsidR="004B5C36" w:rsidRPr="004B5C36" w:rsidRDefault="004B5C36" w:rsidP="004B5C36">
            <w:r w:rsidRPr="004B5C36">
              <w:t>The point catalogue describes instruments no real plant reports.</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t>A2</w:t>
            </w:r>
          </w:p>
        </w:tc>
        <w:tc>
          <w:tcPr>
            <w:tcW w:w="0" w:type="auto"/>
            <w:tcMar>
              <w:top w:w="90" w:type="dxa"/>
              <w:left w:w="90" w:type="dxa"/>
              <w:bottom w:w="90" w:type="dxa"/>
              <w:right w:w="90" w:type="dxa"/>
            </w:tcMar>
            <w:hideMark/>
          </w:tcPr>
          <w:p w:rsidR="004B5C36" w:rsidRPr="004B5C36" w:rsidRDefault="004B5C36" w:rsidP="004B5C36">
            <w:r w:rsidRPr="004B5C36">
              <w:t>We author the first water template pack; Ion Exchange owns and extends it thereafter. The AI models of §4.2–4.5 are yours to supply and ours to serve — we build the serving surface, not the models.</w:t>
            </w:r>
          </w:p>
        </w:tc>
        <w:tc>
          <w:tcPr>
            <w:tcW w:w="0" w:type="auto"/>
            <w:tcMar>
              <w:top w:w="90" w:type="dxa"/>
              <w:left w:w="90" w:type="dxa"/>
              <w:bottom w:w="90" w:type="dxa"/>
              <w:right w:w="90" w:type="dxa"/>
            </w:tcMar>
            <w:hideMark/>
          </w:tcPr>
          <w:p w:rsidR="004B5C36" w:rsidRPr="004B5C36" w:rsidRDefault="004B5C36" w:rsidP="004B5C36">
            <w:r w:rsidRPr="004B5C36">
              <w:t>We build the wrong half of SOW §4.</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t>A3</w:t>
            </w:r>
          </w:p>
        </w:tc>
        <w:tc>
          <w:tcPr>
            <w:tcW w:w="0" w:type="auto"/>
            <w:tcMar>
              <w:top w:w="90" w:type="dxa"/>
              <w:left w:w="90" w:type="dxa"/>
              <w:bottom w:w="90" w:type="dxa"/>
              <w:right w:w="90" w:type="dxa"/>
            </w:tcMar>
            <w:hideMark/>
          </w:tcPr>
          <w:p w:rsidR="004B5C36" w:rsidRPr="004B5C36" w:rsidRDefault="004B5C36" w:rsidP="004B5C36">
            <w:r w:rsidRPr="004B5C36">
              <w:t>The first template set is RO plants, cooling water / cooling towers, STPs and softeners. ETP is </w:t>
            </w:r>
            <w:r w:rsidRPr="004B5C36">
              <w:rPr>
                <w:i/>
                <w:iCs/>
              </w:rPr>
              <w:t>not</w:t>
            </w:r>
            <w:r w:rsidRPr="004B5C36">
              <w:t> in it.</w:t>
            </w:r>
          </w:p>
        </w:tc>
        <w:tc>
          <w:tcPr>
            <w:tcW w:w="0" w:type="auto"/>
            <w:tcMar>
              <w:top w:w="90" w:type="dxa"/>
              <w:left w:w="90" w:type="dxa"/>
              <w:bottom w:w="90" w:type="dxa"/>
              <w:right w:w="90" w:type="dxa"/>
            </w:tcMar>
            <w:hideMark/>
          </w:tcPr>
          <w:p w:rsidR="004B5C36" w:rsidRPr="004B5C36" w:rsidRDefault="004B5C36" w:rsidP="004B5C36">
            <w:r w:rsidRPr="004B5C36">
              <w:t>Six to eight weeks of template work aimed at the wrong plant type.</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t>A4</w:t>
            </w:r>
          </w:p>
        </w:tc>
        <w:tc>
          <w:tcPr>
            <w:tcW w:w="0" w:type="auto"/>
            <w:tcMar>
              <w:top w:w="90" w:type="dxa"/>
              <w:left w:w="90" w:type="dxa"/>
              <w:bottom w:w="90" w:type="dxa"/>
              <w:right w:w="90" w:type="dxa"/>
            </w:tcMar>
            <w:hideMark/>
          </w:tcPr>
          <w:p w:rsidR="004B5C36" w:rsidRPr="004B5C36" w:rsidRDefault="004B5C36" w:rsidP="004B5C36">
            <w:r w:rsidRPr="004B5C36">
              <w:t>Points are reachable over an IP network, and no vendor-licensed driver, paid SDK or proprietary gateway is required to read them. MQTT remains first because it is already live.</w:t>
            </w:r>
          </w:p>
        </w:tc>
        <w:tc>
          <w:tcPr>
            <w:tcW w:w="0" w:type="auto"/>
            <w:tcMar>
              <w:top w:w="90" w:type="dxa"/>
              <w:left w:w="90" w:type="dxa"/>
              <w:bottom w:w="90" w:type="dxa"/>
              <w:right w:w="90" w:type="dxa"/>
            </w:tcMar>
            <w:hideMark/>
          </w:tcPr>
          <w:p w:rsidR="004B5C36" w:rsidRPr="004B5C36" w:rsidRDefault="004B5C36" w:rsidP="004B5C36">
            <w:r w:rsidRPr="004B5C36">
              <w:t>Licensing cost and lead time we have not planned for.</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t xml:space="preserve">A5 </w:t>
            </w:r>
            <w:r w:rsidRPr="004B5C36">
              <w:rPr>
                <w:rFonts w:ascii="Arial" w:hAnsi="Arial" w:cs="Arial"/>
              </w:rPr>
              <w:t>▲</w:t>
            </w:r>
          </w:p>
        </w:tc>
        <w:tc>
          <w:tcPr>
            <w:tcW w:w="0" w:type="auto"/>
            <w:tcMar>
              <w:top w:w="90" w:type="dxa"/>
              <w:left w:w="90" w:type="dxa"/>
              <w:bottom w:w="90" w:type="dxa"/>
              <w:right w:w="90" w:type="dxa"/>
            </w:tcMar>
            <w:hideMark/>
          </w:tcPr>
          <w:p w:rsidR="004B5C36" w:rsidRPr="004B5C36" w:rsidRDefault="004B5C36" w:rsidP="004B5C36">
            <w:r w:rsidRPr="004B5C36">
              <w:t xml:space="preserve">SOW §11 requires cloud, </w:t>
            </w:r>
            <w:proofErr w:type="spellStart"/>
            <w:r w:rsidRPr="004B5C36">
              <w:t>on-premise</w:t>
            </w:r>
            <w:proofErr w:type="spellEnd"/>
            <w:r w:rsidRPr="004B5C36">
              <w:t xml:space="preserve"> and hybrid. We propose building and proving one of the three in phase 1, with the others following, and we need to know which. Who operates the phase-1 environment is an open commercial point, not something we have assumed.</w:t>
            </w:r>
          </w:p>
        </w:tc>
        <w:tc>
          <w:tcPr>
            <w:tcW w:w="0" w:type="auto"/>
            <w:tcMar>
              <w:top w:w="90" w:type="dxa"/>
              <w:left w:w="90" w:type="dxa"/>
              <w:bottom w:w="90" w:type="dxa"/>
              <w:right w:w="90" w:type="dxa"/>
            </w:tcMar>
            <w:hideMark/>
          </w:tcPr>
          <w:p w:rsidR="004B5C36" w:rsidRPr="004B5C36" w:rsidRDefault="004B5C36" w:rsidP="004B5C36">
            <w:r w:rsidRPr="004B5C36">
              <w:t>Packaging, disaster recovery and edge buffering are all designed against the wrong target.</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t xml:space="preserve">A6 </w:t>
            </w:r>
            <w:r w:rsidRPr="004B5C36">
              <w:rPr>
                <w:rFonts w:ascii="Arial" w:hAnsi="Arial" w:cs="Arial"/>
              </w:rPr>
              <w:t>▲</w:t>
            </w:r>
          </w:p>
        </w:tc>
        <w:tc>
          <w:tcPr>
            <w:tcW w:w="0" w:type="auto"/>
            <w:tcMar>
              <w:top w:w="90" w:type="dxa"/>
              <w:left w:w="90" w:type="dxa"/>
              <w:bottom w:w="90" w:type="dxa"/>
              <w:right w:w="90" w:type="dxa"/>
            </w:tcMar>
            <w:hideMark/>
          </w:tcPr>
          <w:p w:rsidR="004B5C36" w:rsidRPr="004B5C36" w:rsidRDefault="004B5C36" w:rsidP="004B5C36">
            <w:r w:rsidRPr="004B5C36">
              <w:t>SOW §11 requires a multi-tenant architecture and we are designing for it. We propose that phase 1 is commissioned as a single tenant — the model built, not yet exercised across customers — with the tenant defined as an Ion Exchange end customer.</w:t>
            </w:r>
          </w:p>
        </w:tc>
        <w:tc>
          <w:tcPr>
            <w:tcW w:w="0" w:type="auto"/>
            <w:tcMar>
              <w:top w:w="90" w:type="dxa"/>
              <w:left w:w="90" w:type="dxa"/>
              <w:bottom w:w="90" w:type="dxa"/>
              <w:right w:w="90" w:type="dxa"/>
            </w:tcMar>
            <w:hideMark/>
          </w:tcPr>
          <w:p w:rsidR="004B5C36" w:rsidRPr="004B5C36" w:rsidRDefault="004B5C36" w:rsidP="004B5C36">
            <w:r w:rsidRPr="004B5C36">
              <w:t>A data-model change that is cheap now and expensive later.</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lastRenderedPageBreak/>
              <w:t>B7</w:t>
            </w:r>
          </w:p>
        </w:tc>
        <w:tc>
          <w:tcPr>
            <w:tcW w:w="0" w:type="auto"/>
            <w:tcMar>
              <w:top w:w="90" w:type="dxa"/>
              <w:left w:w="90" w:type="dxa"/>
              <w:bottom w:w="90" w:type="dxa"/>
              <w:right w:w="90" w:type="dxa"/>
            </w:tcMar>
            <w:hideMark/>
          </w:tcPr>
          <w:p w:rsidR="004B5C36" w:rsidRPr="004B5C36" w:rsidRDefault="004B5C36" w:rsidP="004B5C36">
            <w:r w:rsidRPr="004B5C36">
              <w:t>Templates name which parameters to alarm on and what each one means; the limit values are set per site at commissioning.</w:t>
            </w:r>
          </w:p>
        </w:tc>
        <w:tc>
          <w:tcPr>
            <w:tcW w:w="0" w:type="auto"/>
            <w:tcMar>
              <w:top w:w="90" w:type="dxa"/>
              <w:left w:w="90" w:type="dxa"/>
              <w:bottom w:w="90" w:type="dxa"/>
              <w:right w:w="90" w:type="dxa"/>
            </w:tcMar>
            <w:hideMark/>
          </w:tcPr>
          <w:p w:rsidR="004B5C36" w:rsidRPr="004B5C36" w:rsidRDefault="004B5C36" w:rsidP="004B5C36">
            <w:r w:rsidRPr="004B5C36">
              <w:t>Templates are authored against limits that do not apply.</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t>B8</w:t>
            </w:r>
          </w:p>
        </w:tc>
        <w:tc>
          <w:tcPr>
            <w:tcW w:w="0" w:type="auto"/>
            <w:tcMar>
              <w:top w:w="90" w:type="dxa"/>
              <w:left w:w="90" w:type="dxa"/>
              <w:bottom w:w="90" w:type="dxa"/>
              <w:right w:w="90" w:type="dxa"/>
            </w:tcMar>
            <w:hideMark/>
          </w:tcPr>
          <w:p w:rsidR="004B5C36" w:rsidRPr="004B5C36" w:rsidRDefault="004B5C36" w:rsidP="004B5C36">
            <w:r w:rsidRPr="004B5C36">
              <w:t>Plants span several discharge routes, so templates ship no default limit values.</w:t>
            </w:r>
          </w:p>
        </w:tc>
        <w:tc>
          <w:tcPr>
            <w:tcW w:w="0" w:type="auto"/>
            <w:tcMar>
              <w:top w:w="90" w:type="dxa"/>
              <w:left w:w="90" w:type="dxa"/>
              <w:bottom w:w="90" w:type="dxa"/>
              <w:right w:w="90" w:type="dxa"/>
            </w:tcMar>
            <w:hideMark/>
          </w:tcPr>
          <w:p w:rsidR="004B5C36" w:rsidRPr="004B5C36" w:rsidRDefault="004B5C36" w:rsidP="004B5C36">
            <w:r w:rsidRPr="004B5C36">
              <w:t>Limits authored against the wrong CPCB Schedule VI column.</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t>B9</w:t>
            </w:r>
          </w:p>
        </w:tc>
        <w:tc>
          <w:tcPr>
            <w:tcW w:w="0" w:type="auto"/>
            <w:tcMar>
              <w:top w:w="90" w:type="dxa"/>
              <w:left w:w="90" w:type="dxa"/>
              <w:bottom w:w="90" w:type="dxa"/>
              <w:right w:w="90" w:type="dxa"/>
            </w:tcMar>
            <w:hideMark/>
          </w:tcPr>
          <w:p w:rsidR="004B5C36" w:rsidRPr="004B5C36" w:rsidRDefault="004B5C36" w:rsidP="004B5C36">
            <w:r w:rsidRPr="004B5C36">
              <w:t>The platform's existing Critical / Warning / Info ladder is retained, with severity and priority treated as one axis.</w:t>
            </w:r>
          </w:p>
        </w:tc>
        <w:tc>
          <w:tcPr>
            <w:tcW w:w="0" w:type="auto"/>
            <w:tcMar>
              <w:top w:w="90" w:type="dxa"/>
              <w:left w:w="90" w:type="dxa"/>
              <w:bottom w:w="90" w:type="dxa"/>
              <w:right w:w="90" w:type="dxa"/>
            </w:tcMar>
            <w:hideMark/>
          </w:tcPr>
          <w:p w:rsidR="004B5C36" w:rsidRPr="004B5C36" w:rsidRDefault="004B5C36" w:rsidP="004B5C36">
            <w:r w:rsidRPr="004B5C36">
              <w:t>Change to stored rules and to every alarm screen.</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t>B10</w:t>
            </w:r>
          </w:p>
        </w:tc>
        <w:tc>
          <w:tcPr>
            <w:tcW w:w="0" w:type="auto"/>
            <w:tcMar>
              <w:top w:w="90" w:type="dxa"/>
              <w:left w:w="90" w:type="dxa"/>
              <w:bottom w:w="90" w:type="dxa"/>
              <w:right w:w="90" w:type="dxa"/>
            </w:tcMar>
            <w:hideMark/>
          </w:tcPr>
          <w:p w:rsidR="004B5C36" w:rsidRPr="004B5C36" w:rsidRDefault="004B5C36" w:rsidP="004B5C36">
            <w:r w:rsidRPr="004B5C36">
              <w:t>The full thirteen-field alarm schema is built, but populated progressively — Ion Exchange supplies the engineering content over time.</w:t>
            </w:r>
          </w:p>
        </w:tc>
        <w:tc>
          <w:tcPr>
            <w:tcW w:w="0" w:type="auto"/>
            <w:tcMar>
              <w:top w:w="90" w:type="dxa"/>
              <w:left w:w="90" w:type="dxa"/>
              <w:bottom w:w="90" w:type="dxa"/>
              <w:right w:w="90" w:type="dxa"/>
            </w:tcMar>
            <w:hideMark/>
          </w:tcPr>
          <w:p w:rsidR="004B5C36" w:rsidRPr="004B5C36" w:rsidRDefault="004B5C36" w:rsidP="004B5C36">
            <w:r w:rsidRPr="004B5C36">
              <w:t>A thirteen-field schema that nothing fills.</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t>B11</w:t>
            </w:r>
          </w:p>
        </w:tc>
        <w:tc>
          <w:tcPr>
            <w:tcW w:w="0" w:type="auto"/>
            <w:tcMar>
              <w:top w:w="90" w:type="dxa"/>
              <w:left w:w="90" w:type="dxa"/>
              <w:bottom w:w="90" w:type="dxa"/>
              <w:right w:w="90" w:type="dxa"/>
            </w:tcMar>
            <w:hideMark/>
          </w:tcPr>
          <w:p w:rsidR="004B5C36" w:rsidRPr="004B5C36" w:rsidRDefault="004B5C36" w:rsidP="004B5C36">
            <w:r w:rsidRPr="004B5C36">
              <w:t xml:space="preserve">Email and in-app notification first, with SMS and </w:t>
            </w:r>
            <w:proofErr w:type="spellStart"/>
            <w:r w:rsidRPr="004B5C36">
              <w:t>WhatsApp</w:t>
            </w:r>
            <w:proofErr w:type="spellEnd"/>
            <w:r w:rsidRPr="004B5C36">
              <w:t xml:space="preserve"> later, sent through our own service rather than a corporate gateway.</w:t>
            </w:r>
          </w:p>
        </w:tc>
        <w:tc>
          <w:tcPr>
            <w:tcW w:w="0" w:type="auto"/>
            <w:tcMar>
              <w:top w:w="90" w:type="dxa"/>
              <w:left w:w="90" w:type="dxa"/>
              <w:bottom w:w="90" w:type="dxa"/>
              <w:right w:w="90" w:type="dxa"/>
            </w:tcMar>
            <w:hideMark/>
          </w:tcPr>
          <w:p w:rsidR="004B5C36" w:rsidRPr="004B5C36" w:rsidRDefault="004B5C36" w:rsidP="004B5C36">
            <w:r w:rsidRPr="004B5C36">
              <w:t>Rework of the notification path and its credentials.</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t xml:space="preserve">B12 </w:t>
            </w:r>
            <w:r w:rsidRPr="004B5C36">
              <w:rPr>
                <w:rFonts w:ascii="Arial" w:hAnsi="Arial" w:cs="Arial"/>
              </w:rPr>
              <w:t>▲</w:t>
            </w:r>
          </w:p>
        </w:tc>
        <w:tc>
          <w:tcPr>
            <w:tcW w:w="0" w:type="auto"/>
            <w:tcMar>
              <w:top w:w="90" w:type="dxa"/>
              <w:left w:w="90" w:type="dxa"/>
              <w:bottom w:w="90" w:type="dxa"/>
              <w:right w:w="90" w:type="dxa"/>
            </w:tcMar>
            <w:hideMark/>
          </w:tcPr>
          <w:p w:rsidR="004B5C36" w:rsidRPr="004B5C36" w:rsidRDefault="004B5C36" w:rsidP="004B5C36">
            <w:r w:rsidRPr="004B5C36">
              <w:t>SOW §10 names CMMS, ERP, historians and data lakes as integration targets, and the framework supports them. We propose that no such connector is built in phase 1 — work orders are managed inside the platform — because a connector is built against a specific product, and we do not yet know which products are present. B12 is the question that settles it.</w:t>
            </w:r>
          </w:p>
        </w:tc>
        <w:tc>
          <w:tcPr>
            <w:tcW w:w="0" w:type="auto"/>
            <w:tcMar>
              <w:top w:w="90" w:type="dxa"/>
              <w:left w:w="90" w:type="dxa"/>
              <w:bottom w:w="90" w:type="dxa"/>
              <w:right w:w="90" w:type="dxa"/>
            </w:tcMar>
            <w:hideMark/>
          </w:tcPr>
          <w:p w:rsidR="004B5C36" w:rsidRPr="004B5C36" w:rsidRDefault="004B5C36" w:rsidP="004B5C36">
            <w:r w:rsidRPr="004B5C36">
              <w:t>A required integration discovered late.</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t xml:space="preserve">B13 </w:t>
            </w:r>
            <w:r w:rsidRPr="004B5C36">
              <w:rPr>
                <w:rFonts w:ascii="Arial" w:hAnsi="Arial" w:cs="Arial"/>
              </w:rPr>
              <w:t>▲</w:t>
            </w:r>
          </w:p>
        </w:tc>
        <w:tc>
          <w:tcPr>
            <w:tcW w:w="0" w:type="auto"/>
            <w:tcMar>
              <w:top w:w="90" w:type="dxa"/>
              <w:left w:w="90" w:type="dxa"/>
              <w:bottom w:w="90" w:type="dxa"/>
              <w:right w:w="90" w:type="dxa"/>
            </w:tcMar>
            <w:hideMark/>
          </w:tcPr>
          <w:p w:rsidR="004B5C36" w:rsidRPr="004B5C36" w:rsidRDefault="004B5C36" w:rsidP="004B5C36">
            <w:r w:rsidRPr="004B5C36">
              <w:t>Single sign-on against your corporate identity provider, with MFA enforced there rather than by the platform. We implement every control SOW §12 lists; what we have not assumed into phase 1 is a third-party certification audit (ISO 27001, IEC 62443, SOC 2), which is a separate exercise with its own cost and calendar. If one is expected, we need to know now.</w:t>
            </w:r>
          </w:p>
        </w:tc>
        <w:tc>
          <w:tcPr>
            <w:tcW w:w="0" w:type="auto"/>
            <w:tcMar>
              <w:top w:w="90" w:type="dxa"/>
              <w:left w:w="90" w:type="dxa"/>
              <w:bottom w:w="90" w:type="dxa"/>
              <w:right w:w="90" w:type="dxa"/>
            </w:tcMar>
            <w:hideMark/>
          </w:tcPr>
          <w:p w:rsidR="004B5C36" w:rsidRPr="004B5C36" w:rsidRDefault="004B5C36" w:rsidP="004B5C36">
            <w:r w:rsidRPr="004B5C36">
              <w:t>An unbudgeted certification effort, or an identity model that must be replaced.</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t>B14</w:t>
            </w:r>
          </w:p>
        </w:tc>
        <w:tc>
          <w:tcPr>
            <w:tcW w:w="0" w:type="auto"/>
            <w:tcMar>
              <w:top w:w="90" w:type="dxa"/>
              <w:left w:w="90" w:type="dxa"/>
              <w:bottom w:w="90" w:type="dxa"/>
              <w:right w:w="90" w:type="dxa"/>
            </w:tcMar>
            <w:hideMark/>
          </w:tcPr>
          <w:p w:rsidR="004B5C36" w:rsidRPr="004B5C36" w:rsidRDefault="004B5C36" w:rsidP="004B5C36">
            <w:r w:rsidRPr="004B5C36">
              <w:t>Tariffs, carbon factors and baselines are configuration supplied by Ion Exchange, not values we derive. Savings are measured against a commissioning benchmark.</w:t>
            </w:r>
          </w:p>
        </w:tc>
        <w:tc>
          <w:tcPr>
            <w:tcW w:w="0" w:type="auto"/>
            <w:tcMar>
              <w:top w:w="90" w:type="dxa"/>
              <w:left w:w="90" w:type="dxa"/>
              <w:bottom w:w="90" w:type="dxa"/>
              <w:right w:w="90" w:type="dxa"/>
            </w:tcMar>
            <w:hideMark/>
          </w:tcPr>
          <w:p w:rsidR="004B5C36" w:rsidRPr="004B5C36" w:rsidRDefault="004B5C36" w:rsidP="004B5C36">
            <w:r w:rsidRPr="004B5C36">
              <w:t>Incorrect financial and CO₂ figures on an executive screen.</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lastRenderedPageBreak/>
              <w:t xml:space="preserve">B15 </w:t>
            </w:r>
            <w:r w:rsidRPr="004B5C36">
              <w:rPr>
                <w:rFonts w:ascii="Arial" w:hAnsi="Arial" w:cs="Arial"/>
              </w:rPr>
              <w:t>▲</w:t>
            </w:r>
          </w:p>
        </w:tc>
        <w:tc>
          <w:tcPr>
            <w:tcW w:w="0" w:type="auto"/>
            <w:tcMar>
              <w:top w:w="90" w:type="dxa"/>
              <w:left w:w="90" w:type="dxa"/>
              <w:bottom w:w="90" w:type="dxa"/>
              <w:right w:w="90" w:type="dxa"/>
            </w:tcMar>
            <w:hideMark/>
          </w:tcPr>
          <w:p w:rsidR="004B5C36" w:rsidRPr="004B5C36" w:rsidRDefault="004B5C36" w:rsidP="004B5C36">
            <w:r w:rsidRPr="004B5C36">
              <w:t>SOW §4.3 names five input classes. We propose the score is commissioned on live telemetry first, with maintenance records, environmental factors and utilisation folded in as each source becomes available — the score is only as complete as its inputs, and four of the five are not ours to produce. We have also assumed no historical data is available to backfill, so models train from go-live onward.</w:t>
            </w:r>
          </w:p>
        </w:tc>
        <w:tc>
          <w:tcPr>
            <w:tcW w:w="0" w:type="auto"/>
            <w:tcMar>
              <w:top w:w="90" w:type="dxa"/>
              <w:left w:w="90" w:type="dxa"/>
              <w:bottom w:w="90" w:type="dxa"/>
              <w:right w:w="90" w:type="dxa"/>
            </w:tcMar>
            <w:hideMark/>
          </w:tcPr>
          <w:p w:rsidR="004B5C36" w:rsidRPr="004B5C36" w:rsidRDefault="004B5C36" w:rsidP="004B5C36">
            <w:r w:rsidRPr="004B5C36">
              <w:t>Either a score narrower than §4.3 describes, or training data we did not know we had.</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t>B16</w:t>
            </w:r>
          </w:p>
        </w:tc>
        <w:tc>
          <w:tcPr>
            <w:tcW w:w="0" w:type="auto"/>
            <w:tcMar>
              <w:top w:w="90" w:type="dxa"/>
              <w:left w:w="90" w:type="dxa"/>
              <w:bottom w:w="90" w:type="dxa"/>
              <w:right w:w="90" w:type="dxa"/>
            </w:tcMar>
            <w:hideMark/>
          </w:tcPr>
          <w:p w:rsidR="004B5C36" w:rsidRPr="004B5C36" w:rsidRDefault="004B5C36" w:rsidP="004B5C36">
            <w:r w:rsidRPr="004B5C36">
              <w:t>Two years of raw telemetry is sufficient, and there is no statutory reporting or real-time submission obligation to SPCB, CPCB or your end customers.</w:t>
            </w:r>
          </w:p>
        </w:tc>
        <w:tc>
          <w:tcPr>
            <w:tcW w:w="0" w:type="auto"/>
            <w:tcMar>
              <w:top w:w="90" w:type="dxa"/>
              <w:left w:w="90" w:type="dxa"/>
              <w:bottom w:w="90" w:type="dxa"/>
              <w:right w:w="90" w:type="dxa"/>
            </w:tcMar>
            <w:hideMark/>
          </w:tcPr>
          <w:p w:rsidR="004B5C36" w:rsidRPr="004B5C36" w:rsidRDefault="004B5C36" w:rsidP="004B5C36">
            <w:r w:rsidRPr="004B5C36">
              <w:t>Data already deleted when it is asked for; or an unbuilt statutory feed.</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t>C17</w:t>
            </w:r>
          </w:p>
        </w:tc>
        <w:tc>
          <w:tcPr>
            <w:tcW w:w="0" w:type="auto"/>
            <w:tcMar>
              <w:top w:w="90" w:type="dxa"/>
              <w:left w:w="90" w:type="dxa"/>
              <w:bottom w:w="90" w:type="dxa"/>
              <w:right w:w="90" w:type="dxa"/>
            </w:tcMar>
            <w:hideMark/>
          </w:tcPr>
          <w:p w:rsidR="004B5C36" w:rsidRPr="004B5C36" w:rsidRDefault="004B5C36" w:rsidP="004B5C36">
            <w:r w:rsidRPr="004B5C36">
              <w:t>The product names we have used (INDION FMR, NGPSTP, Eco MBR) are researched, not verified.</w:t>
            </w:r>
          </w:p>
        </w:tc>
        <w:tc>
          <w:tcPr>
            <w:tcW w:w="0" w:type="auto"/>
            <w:tcMar>
              <w:top w:w="90" w:type="dxa"/>
              <w:left w:w="90" w:type="dxa"/>
              <w:bottom w:w="90" w:type="dxa"/>
              <w:right w:w="90" w:type="dxa"/>
            </w:tcMar>
            <w:hideMark/>
          </w:tcPr>
          <w:p w:rsidR="004B5C36" w:rsidRPr="004B5C36" w:rsidRDefault="004B5C36" w:rsidP="004B5C36">
            <w:r w:rsidRPr="004B5C36">
              <w:t>Wrong product names on an operator's screen.</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t>C18</w:t>
            </w:r>
          </w:p>
        </w:tc>
        <w:tc>
          <w:tcPr>
            <w:tcW w:w="0" w:type="auto"/>
            <w:tcMar>
              <w:top w:w="90" w:type="dxa"/>
              <w:left w:w="90" w:type="dxa"/>
              <w:bottom w:w="90" w:type="dxa"/>
              <w:right w:w="90" w:type="dxa"/>
            </w:tcMar>
            <w:hideMark/>
          </w:tcPr>
          <w:p w:rsidR="004B5C36" w:rsidRPr="004B5C36" w:rsidRDefault="004B5C36" w:rsidP="004B5C36">
            <w:r w:rsidRPr="004B5C36">
              <w:t xml:space="preserve">The light palette of the approved </w:t>
            </w:r>
            <w:proofErr w:type="spellStart"/>
            <w:r w:rsidRPr="004B5C36">
              <w:t>mockups</w:t>
            </w:r>
            <w:proofErr w:type="spellEnd"/>
            <w:r w:rsidRPr="004B5C36">
              <w:t xml:space="preserve"> is retained, and navigation stays grouped by function rather than by domain.</w:t>
            </w:r>
          </w:p>
        </w:tc>
        <w:tc>
          <w:tcPr>
            <w:tcW w:w="0" w:type="auto"/>
            <w:tcMar>
              <w:top w:w="90" w:type="dxa"/>
              <w:left w:w="90" w:type="dxa"/>
              <w:bottom w:w="90" w:type="dxa"/>
              <w:right w:w="90" w:type="dxa"/>
            </w:tcMar>
            <w:hideMark/>
          </w:tcPr>
          <w:p w:rsidR="004B5C36" w:rsidRPr="004B5C36" w:rsidRDefault="004B5C36" w:rsidP="004B5C36">
            <w:r w:rsidRPr="004B5C36">
              <w:t>A theme and navigation change across every screen built to date.</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t>C19</w:t>
            </w:r>
          </w:p>
        </w:tc>
        <w:tc>
          <w:tcPr>
            <w:tcW w:w="0" w:type="auto"/>
            <w:tcMar>
              <w:top w:w="90" w:type="dxa"/>
              <w:left w:w="90" w:type="dxa"/>
              <w:bottom w:w="90" w:type="dxa"/>
              <w:right w:w="90" w:type="dxa"/>
            </w:tcMar>
            <w:hideMark/>
          </w:tcPr>
          <w:p w:rsidR="004B5C36" w:rsidRPr="004B5C36" w:rsidRDefault="004B5C36" w:rsidP="004B5C36">
            <w:r w:rsidRPr="004B5C36">
              <w:t>Executive Management, Plant Operations and Maintenance are the personas present at first deployment; the other three follow.</w:t>
            </w:r>
          </w:p>
        </w:tc>
        <w:tc>
          <w:tcPr>
            <w:tcW w:w="0" w:type="auto"/>
            <w:tcMar>
              <w:top w:w="90" w:type="dxa"/>
              <w:left w:w="90" w:type="dxa"/>
              <w:bottom w:w="90" w:type="dxa"/>
              <w:right w:w="90" w:type="dxa"/>
            </w:tcMar>
            <w:hideMark/>
          </w:tcPr>
          <w:p w:rsidR="004B5C36" w:rsidRPr="004B5C36" w:rsidRDefault="004B5C36" w:rsidP="004B5C36">
            <w:r w:rsidRPr="004B5C36">
              <w:t>Dashboards built for a persona with no reviewer.</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t>C20</w:t>
            </w:r>
          </w:p>
        </w:tc>
        <w:tc>
          <w:tcPr>
            <w:tcW w:w="0" w:type="auto"/>
            <w:tcMar>
              <w:top w:w="90" w:type="dxa"/>
              <w:left w:w="90" w:type="dxa"/>
              <w:bottom w:w="90" w:type="dxa"/>
              <w:right w:w="90" w:type="dxa"/>
            </w:tcMar>
            <w:hideMark/>
          </w:tcPr>
          <w:p w:rsidR="004B5C36" w:rsidRPr="004B5C36" w:rsidRDefault="004B5C36" w:rsidP="004B5C36">
            <w:r w:rsidRPr="004B5C36">
              <w:t>Instrumentation supply and installation sit on the project/procurement side; our scope is integration with what is fitted.</w:t>
            </w:r>
          </w:p>
        </w:tc>
        <w:tc>
          <w:tcPr>
            <w:tcW w:w="0" w:type="auto"/>
            <w:tcMar>
              <w:top w:w="90" w:type="dxa"/>
              <w:left w:w="90" w:type="dxa"/>
              <w:bottom w:w="90" w:type="dxa"/>
              <w:right w:w="90" w:type="dxa"/>
            </w:tcMar>
            <w:hideMark/>
          </w:tcPr>
          <w:p w:rsidR="004B5C36" w:rsidRPr="004B5C36" w:rsidRDefault="004B5C36" w:rsidP="004B5C36">
            <w:r w:rsidRPr="004B5C36">
              <w:t>A commercial gap discovered during delivery.</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t>C21</w:t>
            </w:r>
          </w:p>
        </w:tc>
        <w:tc>
          <w:tcPr>
            <w:tcW w:w="0" w:type="auto"/>
            <w:tcMar>
              <w:top w:w="90" w:type="dxa"/>
              <w:left w:w="90" w:type="dxa"/>
              <w:bottom w:w="90" w:type="dxa"/>
              <w:right w:w="90" w:type="dxa"/>
            </w:tcMar>
            <w:hideMark/>
          </w:tcPr>
          <w:p w:rsidR="004B5C36" w:rsidRPr="004B5C36" w:rsidRDefault="004B5C36" w:rsidP="004B5C36">
            <w:r w:rsidRPr="004B5C36">
              <w:t>No assumption made. Environments, acceptance criteria, training scope, support hours and warranty period need to be agreed rather than inferred — we have not priced or planned them.</w:t>
            </w:r>
          </w:p>
        </w:tc>
        <w:tc>
          <w:tcPr>
            <w:tcW w:w="0" w:type="auto"/>
            <w:tcMar>
              <w:top w:w="90" w:type="dxa"/>
              <w:left w:w="90" w:type="dxa"/>
              <w:bottom w:w="90" w:type="dxa"/>
              <w:right w:w="90" w:type="dxa"/>
            </w:tcMar>
            <w:hideMark/>
          </w:tcPr>
          <w:p w:rsidR="004B5C36" w:rsidRPr="004B5C36" w:rsidRDefault="004B5C36" w:rsidP="004B5C36">
            <w:r w:rsidRPr="004B5C36">
              <w:t>These cannot be closed from our side at all.</w:t>
            </w:r>
          </w:p>
        </w:tc>
      </w:tr>
      <w:tr w:rsidR="004B5C36" w:rsidRPr="004B5C36" w:rsidTr="004B5C36">
        <w:trPr>
          <w:tblCellSpacing w:w="15" w:type="dxa"/>
        </w:trPr>
        <w:tc>
          <w:tcPr>
            <w:tcW w:w="0" w:type="auto"/>
            <w:tcMar>
              <w:top w:w="90" w:type="dxa"/>
              <w:left w:w="90" w:type="dxa"/>
              <w:bottom w:w="90" w:type="dxa"/>
              <w:right w:w="90" w:type="dxa"/>
            </w:tcMar>
            <w:hideMark/>
          </w:tcPr>
          <w:p w:rsidR="004B5C36" w:rsidRPr="004B5C36" w:rsidRDefault="004B5C36" w:rsidP="004B5C36">
            <w:r w:rsidRPr="004B5C36">
              <w:t>C22</w:t>
            </w:r>
          </w:p>
        </w:tc>
        <w:tc>
          <w:tcPr>
            <w:tcW w:w="0" w:type="auto"/>
            <w:tcMar>
              <w:top w:w="90" w:type="dxa"/>
              <w:left w:w="90" w:type="dxa"/>
              <w:bottom w:w="90" w:type="dxa"/>
              <w:right w:w="90" w:type="dxa"/>
            </w:tcMar>
            <w:hideMark/>
          </w:tcPr>
          <w:p w:rsidR="004B5C36" w:rsidRPr="004B5C36" w:rsidRDefault="004B5C36" w:rsidP="004B5C36">
            <w:r w:rsidRPr="004B5C36">
              <w:t>The hierarchy is organisation → site → plant → asset, and TRINETRA is presented as the platform with Ion Exchange branding alongside.</w:t>
            </w:r>
          </w:p>
        </w:tc>
        <w:tc>
          <w:tcPr>
            <w:tcW w:w="0" w:type="auto"/>
            <w:tcMar>
              <w:top w:w="90" w:type="dxa"/>
              <w:left w:w="90" w:type="dxa"/>
              <w:bottom w:w="90" w:type="dxa"/>
              <w:right w:w="90" w:type="dxa"/>
            </w:tcMar>
            <w:hideMark/>
          </w:tcPr>
          <w:p w:rsidR="004B5C36" w:rsidRPr="004B5C36" w:rsidRDefault="004B5C36" w:rsidP="004B5C36">
            <w:r w:rsidRPr="004B5C36">
              <w:t>Seed data and header rework.</w:t>
            </w:r>
          </w:p>
        </w:tc>
      </w:tr>
    </w:tbl>
    <w:p w:rsidR="004B5C36" w:rsidRPr="004B5C36" w:rsidRDefault="004B5C36" w:rsidP="004B5C36">
      <w:r w:rsidRPr="004B5C36">
        <w:pict>
          <v:rect id="_x0000_i1027" style="width:0;height:0" o:hralign="center" o:hrstd="t" o:hr="t" fillcolor="#a0a0a0" stroked="f"/>
        </w:pict>
      </w:r>
    </w:p>
    <w:p w:rsidR="004B5C36" w:rsidRDefault="004B5C36" w:rsidP="004B5C36">
      <w:pPr>
        <w:rPr>
          <w:b/>
          <w:bCs/>
        </w:rPr>
      </w:pPr>
    </w:p>
    <w:p w:rsidR="004B5C36" w:rsidRDefault="004B5C36" w:rsidP="004B5C36">
      <w:pPr>
        <w:rPr>
          <w:b/>
          <w:bCs/>
        </w:rPr>
      </w:pPr>
    </w:p>
    <w:p w:rsidR="004B5C36" w:rsidRPr="004B5C36" w:rsidRDefault="004B5C36" w:rsidP="004B5C36">
      <w:pPr>
        <w:rPr>
          <w:b/>
          <w:bCs/>
        </w:rPr>
      </w:pPr>
      <w:r w:rsidRPr="004B5C36">
        <w:rPr>
          <w:b/>
          <w:bCs/>
        </w:rPr>
        <w:lastRenderedPageBreak/>
        <w:t xml:space="preserve">Part A — </w:t>
      </w:r>
      <w:proofErr w:type="gramStart"/>
      <w:r w:rsidRPr="004B5C36">
        <w:rPr>
          <w:b/>
          <w:bCs/>
        </w:rPr>
        <w:t>Required</w:t>
      </w:r>
      <w:proofErr w:type="gramEnd"/>
      <w:r w:rsidRPr="004B5C36">
        <w:rPr>
          <w:b/>
          <w:bCs/>
        </w:rPr>
        <w:t xml:space="preserve"> to proceed with work already committed</w:t>
      </w:r>
    </w:p>
    <w:p w:rsidR="004B5C36" w:rsidRPr="004B5C36" w:rsidRDefault="004B5C36" w:rsidP="004B5C36">
      <w:pPr>
        <w:rPr>
          <w:b/>
          <w:bCs/>
        </w:rPr>
      </w:pPr>
      <w:r w:rsidRPr="004B5C36">
        <w:rPr>
          <w:b/>
          <w:bCs/>
        </w:rPr>
        <w:t>A1. A tag list from one real plant</w:t>
      </w:r>
    </w:p>
    <w:p w:rsidR="004B5C36" w:rsidRPr="004B5C36" w:rsidRDefault="004B5C36" w:rsidP="004B5C36">
      <w:r w:rsidRPr="004B5C36">
        <w:rPr>
          <w:i/>
          <w:iCs/>
        </w:rPr>
        <w:t>SOW §4.1 Asset Templates; §3 Water Infrastructure</w:t>
      </w:r>
    </w:p>
    <w:p w:rsidR="004B5C36" w:rsidRPr="004B5C36" w:rsidRDefault="004B5C36" w:rsidP="004B5C36">
      <w:r w:rsidRPr="004B5C36">
        <w:t>What we need: a P&amp;ID, an I/O schedule, or a SCADA/PLC tag export — from any one plant, of any type.</w:t>
      </w:r>
    </w:p>
    <w:p w:rsidR="004B5C36" w:rsidRPr="004B5C36" w:rsidRDefault="004B5C36" w:rsidP="004B5C36">
      <w:r w:rsidRPr="004B5C36">
        <w:t xml:space="preserve">Why: it settles three things at once that we can otherwise only assume — </w:t>
      </w:r>
      <w:proofErr w:type="gramStart"/>
      <w:r w:rsidRPr="004B5C36">
        <w:t>your</w:t>
      </w:r>
      <w:proofErr w:type="gramEnd"/>
      <w:r w:rsidRPr="004B5C36">
        <w:t> naming conventions, your engineering units, and above all which instruments are actually fitted rather than theoretically available. SOW §3 lists ten water asset classes and §8 lists fifteen instrument types; one real plant tells us which of those coexist in practice.</w:t>
      </w:r>
    </w:p>
    <w:p w:rsidR="004B5C36" w:rsidRPr="004B5C36" w:rsidRDefault="004B5C36" w:rsidP="004B5C36">
      <w:r w:rsidRPr="004B5C36">
        <w:t>Format: any existing export. Redacted or anonymised is fine. A single plant is sufficient — we are not asking for a survey.</w:t>
      </w:r>
    </w:p>
    <w:p w:rsidR="004B5C36" w:rsidRPr="004B5C36" w:rsidRDefault="004B5C36" w:rsidP="004B5C36">
      <w:pPr>
        <w:rPr>
          <w:b/>
          <w:bCs/>
        </w:rPr>
      </w:pPr>
      <w:r w:rsidRPr="004B5C36">
        <w:rPr>
          <w:b/>
          <w:bCs/>
        </w:rPr>
        <w:t>A2. The boundary between Ion Exchange's overlay and our foundation</w:t>
      </w:r>
    </w:p>
    <w:p w:rsidR="004B5C36" w:rsidRPr="004B5C36" w:rsidRDefault="004B5C36" w:rsidP="004B5C36">
      <w:r w:rsidRPr="004B5C36">
        <w:rPr>
          <w:i/>
          <w:iCs/>
        </w:rPr>
        <w:t>SOW §1, §2, §4, §14</w:t>
      </w:r>
    </w:p>
    <w:p w:rsidR="004B5C36" w:rsidRPr="004B5C36" w:rsidRDefault="004B5C36" w:rsidP="004B5C36">
      <w:r w:rsidRPr="004B5C36">
        <w:t>The SOW states that Euphoria provides the digital foundation and Ion Exchange overlays its proprietary engineering templates, AI models and optimisation logic (§14). We agree with that division. The SOW does not define the seam, and it materially changes what we build under §4:</w:t>
      </w:r>
    </w:p>
    <w:p w:rsidR="004B5C36" w:rsidRPr="004B5C36" w:rsidRDefault="004B5C36" w:rsidP="004B5C36">
      <w:pPr>
        <w:numPr>
          <w:ilvl w:val="0"/>
          <w:numId w:val="2"/>
        </w:numPr>
      </w:pPr>
      <w:r w:rsidRPr="004B5C36">
        <w:t>Asset templates (§4.1). Do we provide a </w:t>
      </w:r>
      <w:r w:rsidRPr="004B5C36">
        <w:rPr>
          <w:i/>
          <w:iCs/>
        </w:rPr>
        <w:t>template authoring surface</w:t>
      </w:r>
      <w:r w:rsidRPr="004B5C36">
        <w:t> that your engineers populate, or do we author the template content — KPIs, alarm philosophies, health models, maintenance rules — to your specification? </w:t>
      </w:r>
      <w:r w:rsidRPr="004B5C36">
        <w:rPr>
          <w:i/>
          <w:iCs/>
        </w:rPr>
        <w:t>Our current assumption: we author the first water pack; Ion Exchange owns and extends it thereafter.</w:t>
      </w:r>
    </w:p>
    <w:p w:rsidR="004B5C36" w:rsidRPr="004B5C36" w:rsidRDefault="004B5C36" w:rsidP="004B5C36">
      <w:pPr>
        <w:numPr>
          <w:ilvl w:val="0"/>
          <w:numId w:val="2"/>
        </w:numPr>
      </w:pPr>
      <w:r w:rsidRPr="004B5C36">
        <w:t>AI models (§4.2–4.5). Anomaly detection, health scoring, forecasting and optimisation advisories — are these yours to supply and ours to serve, or ours to build? If yours, in what form (container image, Python package, or a hosted API we call), what input do they expect, and what do they return? We need the </w:t>
      </w:r>
      <w:r w:rsidRPr="004B5C36">
        <w:rPr>
          <w:i/>
          <w:iCs/>
        </w:rPr>
        <w:t>interface</w:t>
      </w:r>
      <w:r w:rsidRPr="004B5C36">
        <w:t>, not the model itself.</w:t>
      </w:r>
    </w:p>
    <w:p w:rsidR="004B5C36" w:rsidRPr="004B5C36" w:rsidRDefault="004B5C36" w:rsidP="004B5C36">
      <w:pPr>
        <w:numPr>
          <w:ilvl w:val="0"/>
          <w:numId w:val="2"/>
        </w:numPr>
      </w:pPr>
      <w:r w:rsidRPr="004B5C36">
        <w:t>Optimisation logic (§4.5). Pump sequencing, chiller and boiler optimisation, chemical dosing — engineering rules for us to implement, or models you provide?</w:t>
      </w:r>
    </w:p>
    <w:p w:rsidR="004B5C36" w:rsidRPr="004B5C36" w:rsidRDefault="004B5C36" w:rsidP="004B5C36">
      <w:pPr>
        <w:numPr>
          <w:ilvl w:val="0"/>
          <w:numId w:val="2"/>
        </w:numPr>
      </w:pPr>
      <w:r w:rsidRPr="004B5C36">
        <w:t>May we see one worked example of whatever you intend to overlay — one template or one model — even in draft form?</w:t>
      </w:r>
    </w:p>
    <w:p w:rsidR="004B5C36" w:rsidRPr="004B5C36" w:rsidRDefault="004B5C36" w:rsidP="004B5C36">
      <w:pPr>
        <w:rPr>
          <w:b/>
          <w:bCs/>
        </w:rPr>
      </w:pPr>
      <w:r w:rsidRPr="004B5C36">
        <w:rPr>
          <w:b/>
          <w:bCs/>
        </w:rPr>
        <w:t>A3. First plant type, first end-customer, first site</w:t>
      </w:r>
    </w:p>
    <w:p w:rsidR="004B5C36" w:rsidRPr="004B5C36" w:rsidRDefault="004B5C36" w:rsidP="004B5C36">
      <w:r w:rsidRPr="004B5C36">
        <w:rPr>
          <w:i/>
          <w:iCs/>
        </w:rPr>
        <w:t>SOW §3</w:t>
      </w:r>
    </w:p>
    <w:p w:rsidR="004B5C36" w:rsidRPr="004B5C36" w:rsidRDefault="004B5C36" w:rsidP="004B5C36">
      <w:r w:rsidRPr="004B5C36">
        <w:t>Our drafted first set of templates is RO plants, cooling water / cooling towers, sewage treatment plants and softeners, chosen to match the remote-monitoring packages Ion Exchange Services already offers.</w:t>
      </w:r>
    </w:p>
    <w:p w:rsidR="004B5C36" w:rsidRPr="004B5C36" w:rsidRDefault="004B5C36" w:rsidP="004B5C36">
      <w:pPr>
        <w:numPr>
          <w:ilvl w:val="0"/>
          <w:numId w:val="3"/>
        </w:numPr>
      </w:pPr>
      <w:r w:rsidRPr="004B5C36">
        <w:t>A3a. Your reference dashboards give ETP a dedicated navigation entry and a full process train, while reducing softeners and RO to a single node. ETP is not in our drafted four. Should it be, or are the reference screens illustrative rather than an indication of deployment order?</w:t>
      </w:r>
    </w:p>
    <w:p w:rsidR="004B5C36" w:rsidRPr="004B5C36" w:rsidRDefault="004B5C36" w:rsidP="004B5C36">
      <w:pPr>
        <w:numPr>
          <w:ilvl w:val="0"/>
          <w:numId w:val="3"/>
        </w:numPr>
      </w:pPr>
      <w:r w:rsidRPr="004B5C36">
        <w:lastRenderedPageBreak/>
        <w:t>A3b. SOW §3 refers to multiple industries. Which industry and which end-customer does the first deployment serve? If known: the first physical site, its plant type, and approximately how many assets.</w:t>
      </w:r>
    </w:p>
    <w:p w:rsidR="004B5C36" w:rsidRPr="004B5C36" w:rsidRDefault="004B5C36" w:rsidP="004B5C36">
      <w:pPr>
        <w:rPr>
          <w:b/>
          <w:bCs/>
        </w:rPr>
      </w:pPr>
      <w:r w:rsidRPr="004B5C36">
        <w:rPr>
          <w:b/>
          <w:bCs/>
        </w:rPr>
        <w:t>A4. Protocols and control systems — makes, models and versions</w:t>
      </w:r>
    </w:p>
    <w:p w:rsidR="004B5C36" w:rsidRPr="004B5C36" w:rsidRDefault="004B5C36" w:rsidP="004B5C36">
      <w:r w:rsidRPr="004B5C36">
        <w:rPr>
          <w:i/>
          <w:iCs/>
        </w:rPr>
        <w:t>SOW §10</w:t>
      </w:r>
    </w:p>
    <w:p w:rsidR="004B5C36" w:rsidRPr="004B5C36" w:rsidRDefault="004B5C36" w:rsidP="004B5C36">
      <w:r w:rsidRPr="004B5C36">
        <w:t xml:space="preserve">SOW §10 names OPC-UA, MQTT, Modbus, </w:t>
      </w:r>
      <w:proofErr w:type="spellStart"/>
      <w:r w:rsidRPr="004B5C36">
        <w:t>BACnet</w:t>
      </w:r>
      <w:proofErr w:type="spellEnd"/>
      <w:r w:rsidRPr="004B5C36">
        <w:t>, IEC 60870 and REST, together with PLC, SCADA, BMS, EMS and DCS integration. That is the correct list for a platform, but it is not a build order — each protocol adapter is a substantial piece of engineering in its own right and they are not interchangeable. We currently run MQTT in a live pilot.</w:t>
      </w:r>
    </w:p>
    <w:p w:rsidR="004B5C36" w:rsidRPr="004B5C36" w:rsidRDefault="004B5C36" w:rsidP="004B5C36">
      <w:pPr>
        <w:numPr>
          <w:ilvl w:val="0"/>
          <w:numId w:val="4"/>
        </w:numPr>
      </w:pPr>
      <w:r w:rsidRPr="004B5C36">
        <w:t>Which protocol should we build first, and which second?</w:t>
      </w:r>
    </w:p>
    <w:p w:rsidR="004B5C36" w:rsidRPr="004B5C36" w:rsidRDefault="004B5C36" w:rsidP="004B5C36">
      <w:pPr>
        <w:numPr>
          <w:ilvl w:val="0"/>
          <w:numId w:val="4"/>
        </w:numPr>
      </w:pPr>
      <w:r w:rsidRPr="004B5C36">
        <w:t>For the systems in scope: manufacturer, model and firmware/version of the PLC / DCS / SCADA / gateway. "Modbus" alone is not enough to build against — we need the register map or the device manual.</w:t>
      </w:r>
    </w:p>
    <w:p w:rsidR="004B5C36" w:rsidRPr="004B5C36" w:rsidRDefault="004B5C36" w:rsidP="004B5C36">
      <w:pPr>
        <w:numPr>
          <w:ilvl w:val="0"/>
          <w:numId w:val="4"/>
        </w:numPr>
      </w:pPr>
      <w:r w:rsidRPr="004B5C36">
        <w:t>How many RTUs, gateways and sites are in phase 1?</w:t>
      </w:r>
    </w:p>
    <w:p w:rsidR="004B5C36" w:rsidRPr="004B5C36" w:rsidRDefault="004B5C36" w:rsidP="004B5C36">
      <w:pPr>
        <w:numPr>
          <w:ilvl w:val="0"/>
          <w:numId w:val="4"/>
        </w:numPr>
      </w:pPr>
      <w:r w:rsidRPr="004B5C36">
        <w:t>Are the points already exposed by an existing SCADA system or historian that we could read from, or do we connect to the devices directly?</w:t>
      </w:r>
    </w:p>
    <w:p w:rsidR="004B5C36" w:rsidRPr="004B5C36" w:rsidRDefault="004B5C36" w:rsidP="004B5C36">
      <w:pPr>
        <w:rPr>
          <w:b/>
          <w:bCs/>
        </w:rPr>
      </w:pPr>
      <w:r w:rsidRPr="004B5C36">
        <w:rPr>
          <w:b/>
          <w:bCs/>
        </w:rPr>
        <w:t>A5. Deployment model and network access</w:t>
      </w:r>
    </w:p>
    <w:p w:rsidR="004B5C36" w:rsidRPr="004B5C36" w:rsidRDefault="004B5C36" w:rsidP="004B5C36">
      <w:r w:rsidRPr="004B5C36">
        <w:rPr>
          <w:i/>
          <w:iCs/>
        </w:rPr>
        <w:t>SOW §11</w:t>
      </w:r>
    </w:p>
    <w:p w:rsidR="004B5C36" w:rsidRPr="004B5C36" w:rsidRDefault="004B5C36" w:rsidP="004B5C36">
      <w:r w:rsidRPr="004B5C36">
        <w:t xml:space="preserve">SOW §11 requires cloud, </w:t>
      </w:r>
      <w:proofErr w:type="spellStart"/>
      <w:r w:rsidRPr="004B5C36">
        <w:t>on-premise</w:t>
      </w:r>
      <w:proofErr w:type="spellEnd"/>
      <w:r w:rsidRPr="004B5C36">
        <w:t> and hybrid deployment. For phase 1 we need to build for one:</w:t>
      </w:r>
    </w:p>
    <w:p w:rsidR="004B5C36" w:rsidRPr="004B5C36" w:rsidRDefault="004B5C36" w:rsidP="004B5C36">
      <w:pPr>
        <w:numPr>
          <w:ilvl w:val="0"/>
          <w:numId w:val="5"/>
        </w:numPr>
      </w:pPr>
      <w:r w:rsidRPr="004B5C36">
        <w:t>Which model, and who operates it — Euphoria, Ion Exchange IT, the end customer, or a third party?</w:t>
      </w:r>
    </w:p>
    <w:p w:rsidR="004B5C36" w:rsidRPr="004B5C36" w:rsidRDefault="004B5C36" w:rsidP="004B5C36">
      <w:pPr>
        <w:numPr>
          <w:ilvl w:val="0"/>
          <w:numId w:val="5"/>
        </w:numPr>
      </w:pPr>
      <w:r w:rsidRPr="004B5C36">
        <w:t>What network path will telemetry take out of the plant, and who authorises it? Is a VPN or site-to-site link required (§11, </w:t>
      </w:r>
      <w:r w:rsidRPr="004B5C36">
        <w:rPr>
          <w:i/>
          <w:iCs/>
        </w:rPr>
        <w:t>Secure remote access</w:t>
      </w:r>
      <w:r w:rsidRPr="004B5C36">
        <w:t>), and what is the process for obtaining one?</w:t>
      </w:r>
    </w:p>
    <w:p w:rsidR="004B5C36" w:rsidRPr="004B5C36" w:rsidRDefault="004B5C36" w:rsidP="004B5C36">
      <w:pPr>
        <w:numPr>
          <w:ilvl w:val="0"/>
          <w:numId w:val="5"/>
        </w:numPr>
      </w:pPr>
      <w:r w:rsidRPr="004B5C36">
        <w:t>When can we be given access to a real device or a test bench? Until then, every adapter is validated against a simulator. In our experience this is the longest lead-time item in an engagement of this shape.</w:t>
      </w:r>
    </w:p>
    <w:p w:rsidR="004B5C36" w:rsidRPr="004B5C36" w:rsidRDefault="004B5C36" w:rsidP="004B5C36">
      <w:pPr>
        <w:rPr>
          <w:b/>
          <w:bCs/>
        </w:rPr>
      </w:pPr>
      <w:r w:rsidRPr="004B5C36">
        <w:rPr>
          <w:b/>
          <w:bCs/>
        </w:rPr>
        <w:t>A6. Multi-tenancy — where does the tenant boundary lie?</w:t>
      </w:r>
    </w:p>
    <w:p w:rsidR="004B5C36" w:rsidRPr="004B5C36" w:rsidRDefault="004B5C36" w:rsidP="004B5C36">
      <w:r w:rsidRPr="004B5C36">
        <w:rPr>
          <w:i/>
          <w:iCs/>
        </w:rPr>
        <w:t>SOW §11</w:t>
      </w:r>
    </w:p>
    <w:p w:rsidR="004B5C36" w:rsidRPr="004B5C36" w:rsidRDefault="004B5C36" w:rsidP="004B5C36">
      <w:r w:rsidRPr="004B5C36">
        <w:t>SOW §11 requires a multi-tenant architecture, so the requirement itself is settled. What we need is what constitutes a tenant:</w:t>
      </w:r>
    </w:p>
    <w:p w:rsidR="004B5C36" w:rsidRPr="004B5C36" w:rsidRDefault="004B5C36" w:rsidP="004B5C36">
      <w:pPr>
        <w:numPr>
          <w:ilvl w:val="0"/>
          <w:numId w:val="6"/>
        </w:numPr>
      </w:pPr>
      <w:r w:rsidRPr="004B5C36">
        <w:t>One platform serving Ion Exchange's end customers, each seeing only their own sites? Or one tenant per Ion Exchange business unit, with customers as sites beneath?</w:t>
      </w:r>
    </w:p>
    <w:p w:rsidR="004B5C36" w:rsidRPr="004B5C36" w:rsidRDefault="004B5C36" w:rsidP="004B5C36">
      <w:pPr>
        <w:numPr>
          <w:ilvl w:val="0"/>
          <w:numId w:val="6"/>
        </w:numPr>
      </w:pPr>
      <w:r w:rsidRPr="004B5C36">
        <w:t>Will an end customer's own staff hold logins, or only Ion Exchange personnel?</w:t>
      </w:r>
    </w:p>
    <w:p w:rsidR="004B5C36" w:rsidRPr="004B5C36" w:rsidRDefault="004B5C36" w:rsidP="004B5C36">
      <w:pPr>
        <w:numPr>
          <w:ilvl w:val="0"/>
          <w:numId w:val="6"/>
        </w:numPr>
      </w:pPr>
      <w:r w:rsidRPr="004B5C36">
        <w:t>Is multi-tenancy required in phase 1, or is phase 1 single-tenant with the model held in reserve?</w:t>
      </w:r>
    </w:p>
    <w:p w:rsidR="004B5C36" w:rsidRPr="004B5C36" w:rsidRDefault="004B5C36" w:rsidP="004B5C36">
      <w:r w:rsidRPr="004B5C36">
        <w:t>We need the intent only; the architecture is ours to design.</w:t>
      </w:r>
    </w:p>
    <w:p w:rsidR="004B5C36" w:rsidRPr="004B5C36" w:rsidRDefault="004B5C36" w:rsidP="004B5C36">
      <w:r w:rsidRPr="004B5C36">
        <w:lastRenderedPageBreak/>
        <w:pict>
          <v:rect id="_x0000_i1028" style="width:0;height:0" o:hralign="center" o:hrstd="t" o:hr="t" fillcolor="#a0a0a0" stroked="f"/>
        </w:pict>
      </w:r>
    </w:p>
    <w:p w:rsidR="004B5C36" w:rsidRPr="004B5C36" w:rsidRDefault="004B5C36" w:rsidP="004B5C36">
      <w:pPr>
        <w:rPr>
          <w:b/>
          <w:bCs/>
        </w:rPr>
      </w:pPr>
      <w:r w:rsidRPr="004B5C36">
        <w:rPr>
          <w:b/>
          <w:bCs/>
        </w:rPr>
        <w:t xml:space="preserve">Part B — </w:t>
      </w:r>
      <w:proofErr w:type="gramStart"/>
      <w:r w:rsidRPr="004B5C36">
        <w:rPr>
          <w:b/>
          <w:bCs/>
        </w:rPr>
        <w:t>Required</w:t>
      </w:r>
      <w:proofErr w:type="gramEnd"/>
      <w:r w:rsidRPr="004B5C36">
        <w:rPr>
          <w:b/>
          <w:bCs/>
        </w:rPr>
        <w:t xml:space="preserve"> before the corresponding stage of build</w:t>
      </w:r>
    </w:p>
    <w:p w:rsidR="004B5C36" w:rsidRPr="004B5C36" w:rsidRDefault="004B5C36" w:rsidP="004B5C36">
      <w:pPr>
        <w:rPr>
          <w:b/>
          <w:bCs/>
        </w:rPr>
      </w:pPr>
      <w:r w:rsidRPr="004B5C36">
        <w:rPr>
          <w:b/>
          <w:bCs/>
        </w:rPr>
        <w:t xml:space="preserve">B7. Alarm </w:t>
      </w:r>
      <w:proofErr w:type="spellStart"/>
      <w:r w:rsidRPr="004B5C36">
        <w:rPr>
          <w:b/>
          <w:bCs/>
        </w:rPr>
        <w:t>setpoints</w:t>
      </w:r>
      <w:proofErr w:type="spellEnd"/>
      <w:r w:rsidRPr="004B5C36">
        <w:rPr>
          <w:b/>
          <w:bCs/>
        </w:rPr>
        <w:t xml:space="preserve"> — per site, or Ion Exchange standards?</w:t>
      </w:r>
    </w:p>
    <w:p w:rsidR="004B5C36" w:rsidRPr="004B5C36" w:rsidRDefault="004B5C36" w:rsidP="004B5C36">
      <w:r w:rsidRPr="004B5C36">
        <w:rPr>
          <w:i/>
          <w:iCs/>
        </w:rPr>
        <w:t>SOW §4.1</w:t>
      </w:r>
    </w:p>
    <w:p w:rsidR="004B5C36" w:rsidRPr="004B5C36" w:rsidRDefault="004B5C36" w:rsidP="004B5C36">
      <w:r w:rsidRPr="004B5C36">
        <w:t xml:space="preserve">Our current plan is that templates specify which parameters to alarm on and what each one means, with the actual limit values set per site at commissioning — on the understanding that most limits follow the individual plant's design and its discharge consent. If Ion Exchange applies standard </w:t>
      </w:r>
      <w:proofErr w:type="spellStart"/>
      <w:r w:rsidRPr="004B5C36">
        <w:t>setpoints</w:t>
      </w:r>
      <w:proofErr w:type="spellEnd"/>
      <w:r w:rsidRPr="004B5C36">
        <w:t xml:space="preserve"> across plants, we would like to know before building rather than after.</w:t>
      </w:r>
    </w:p>
    <w:p w:rsidR="004B5C36" w:rsidRPr="004B5C36" w:rsidRDefault="004B5C36" w:rsidP="004B5C36">
      <w:pPr>
        <w:rPr>
          <w:b/>
          <w:bCs/>
        </w:rPr>
      </w:pPr>
      <w:r w:rsidRPr="004B5C36">
        <w:rPr>
          <w:b/>
          <w:bCs/>
        </w:rPr>
        <w:t>B8. For effluent and sewage plants — where does the treated water go?</w:t>
      </w:r>
    </w:p>
    <w:p w:rsidR="004B5C36" w:rsidRPr="004B5C36" w:rsidRDefault="004B5C36" w:rsidP="004B5C36">
      <w:r w:rsidRPr="004B5C36">
        <w:rPr>
          <w:i/>
          <w:iCs/>
        </w:rPr>
        <w:t>SOW §3</w:t>
      </w:r>
    </w:p>
    <w:p w:rsidR="004B5C36" w:rsidRPr="004B5C36" w:rsidRDefault="004B5C36" w:rsidP="004B5C36">
      <w:r w:rsidRPr="004B5C36">
        <w:t>Inland surface water · public sewer · land for irrigation · recycle and reuse. CPCB Schedule VI limits differ substantially by discharge route — BOD is 30 mg/L to inland surface water against 350 mg/L to a public sewer — so the route determines which figures a given plant is actually held to. If your plants span several routes, that is equally useful to know.</w:t>
      </w:r>
    </w:p>
    <w:p w:rsidR="004B5C36" w:rsidRPr="004B5C36" w:rsidRDefault="004B5C36" w:rsidP="004B5C36">
      <w:pPr>
        <w:rPr>
          <w:b/>
          <w:bCs/>
        </w:rPr>
      </w:pPr>
      <w:r w:rsidRPr="004B5C36">
        <w:rPr>
          <w:b/>
          <w:bCs/>
        </w:rPr>
        <w:t>B9. Alarm severity ladder</w:t>
      </w:r>
    </w:p>
    <w:p w:rsidR="004B5C36" w:rsidRPr="004B5C36" w:rsidRDefault="004B5C36" w:rsidP="004B5C36">
      <w:r w:rsidRPr="004B5C36">
        <w:rPr>
          <w:i/>
          <w:iCs/>
        </w:rPr>
        <w:t>SOW §5</w:t>
      </w:r>
    </w:p>
    <w:p w:rsidR="004B5C36" w:rsidRPr="004B5C36" w:rsidRDefault="004B5C36" w:rsidP="004B5C36">
      <w:r w:rsidRPr="004B5C36">
        <w:t>Your reference dashboards use Critical / High / Warning. The platform currently ships Critical / Warning / Info — there is no </w:t>
      </w:r>
      <w:r w:rsidRPr="004B5C36">
        <w:rPr>
          <w:i/>
          <w:iCs/>
        </w:rPr>
        <w:t>High</w:t>
      </w:r>
      <w:r w:rsidRPr="004B5C36">
        <w:t>. Which ladder would you like, and what is the operational definition of each level?</w:t>
      </w:r>
    </w:p>
    <w:p w:rsidR="004B5C36" w:rsidRPr="004B5C36" w:rsidRDefault="004B5C36" w:rsidP="004B5C36">
      <w:r w:rsidRPr="004B5C36">
        <w:t>SOW §5 also lists </w:t>
      </w:r>
      <w:r w:rsidRPr="004B5C36">
        <w:rPr>
          <w:i/>
          <w:iCs/>
        </w:rPr>
        <w:t>severity classification</w:t>
      </w:r>
      <w:r w:rsidRPr="004B5C36">
        <w:t> and </w:t>
      </w:r>
      <w:r w:rsidRPr="004B5C36">
        <w:rPr>
          <w:i/>
          <w:iCs/>
        </w:rPr>
        <w:t>priority level</w:t>
      </w:r>
      <w:r w:rsidRPr="004B5C36">
        <w:t> as separate fields — are these genuinely two axes in your practice, or one?</w:t>
      </w:r>
    </w:p>
    <w:p w:rsidR="004B5C36" w:rsidRPr="004B5C36" w:rsidRDefault="004B5C36" w:rsidP="004B5C36">
      <w:pPr>
        <w:rPr>
          <w:b/>
          <w:bCs/>
        </w:rPr>
      </w:pPr>
      <w:r w:rsidRPr="004B5C36">
        <w:rPr>
          <w:b/>
          <w:bCs/>
        </w:rPr>
        <w:t>B10. Alarm enrichment — which fields matter first, and who supplies them?</w:t>
      </w:r>
    </w:p>
    <w:p w:rsidR="004B5C36" w:rsidRPr="004B5C36" w:rsidRDefault="004B5C36" w:rsidP="004B5C36">
      <w:r w:rsidRPr="004B5C36">
        <w:rPr>
          <w:i/>
          <w:iCs/>
        </w:rPr>
        <w:t>SOW §5</w:t>
      </w:r>
    </w:p>
    <w:p w:rsidR="004B5C36" w:rsidRPr="004B5C36" w:rsidRDefault="004B5C36" w:rsidP="004B5C36">
      <w:r w:rsidRPr="004B5C36">
        <w:t>SOW §5 lists thirteen fields per alarm, including probable root cause, impact assessment, estimated energy / water / production impact, estimated resolution time and skill requirements. We will build the schema and the operator-facing panel; the content is engineering domain knowledge, which §14 places on the Ion Exchange side.</w:t>
      </w:r>
    </w:p>
    <w:p w:rsidR="004B5C36" w:rsidRPr="004B5C36" w:rsidRDefault="004B5C36" w:rsidP="004B5C36">
      <w:pPr>
        <w:numPr>
          <w:ilvl w:val="0"/>
          <w:numId w:val="7"/>
        </w:numPr>
      </w:pPr>
      <w:r w:rsidRPr="004B5C36">
        <w:t>Which of the thirteen are essential for phase 1, and which can follow?</w:t>
      </w:r>
    </w:p>
    <w:p w:rsidR="004B5C36" w:rsidRPr="004B5C36" w:rsidRDefault="004B5C36" w:rsidP="004B5C36">
      <w:pPr>
        <w:numPr>
          <w:ilvl w:val="0"/>
          <w:numId w:val="7"/>
        </w:numPr>
      </w:pPr>
      <w:r w:rsidRPr="004B5C36">
        <w:t>For the water asset classes, does a root-cause or corrective-action knowledge base already exist in any form — SOPs, troubleshooting guides, service checklists — that we could work from rather than author from scratch?</w:t>
      </w:r>
    </w:p>
    <w:p w:rsidR="004B5C36" w:rsidRPr="004B5C36" w:rsidRDefault="004B5C36" w:rsidP="004B5C36">
      <w:pPr>
        <w:rPr>
          <w:b/>
          <w:bCs/>
        </w:rPr>
      </w:pPr>
      <w:r w:rsidRPr="004B5C36">
        <w:rPr>
          <w:b/>
          <w:bCs/>
        </w:rPr>
        <w:t>B11. Notifications, escalation and service levels</w:t>
      </w:r>
    </w:p>
    <w:p w:rsidR="004B5C36" w:rsidRPr="004B5C36" w:rsidRDefault="004B5C36" w:rsidP="004B5C36">
      <w:r w:rsidRPr="004B5C36">
        <w:rPr>
          <w:i/>
          <w:iCs/>
        </w:rPr>
        <w:t>SOW §5, §6</w:t>
      </w:r>
    </w:p>
    <w:p w:rsidR="004B5C36" w:rsidRPr="004B5C36" w:rsidRDefault="004B5C36" w:rsidP="004B5C36">
      <w:pPr>
        <w:numPr>
          <w:ilvl w:val="0"/>
          <w:numId w:val="8"/>
        </w:numPr>
      </w:pPr>
      <w:r w:rsidRPr="004B5C36">
        <w:t xml:space="preserve">Which channels: email, SMS, </w:t>
      </w:r>
      <w:proofErr w:type="spellStart"/>
      <w:r w:rsidRPr="004B5C36">
        <w:t>WhatsApp</w:t>
      </w:r>
      <w:proofErr w:type="spellEnd"/>
      <w:r w:rsidRPr="004B5C36">
        <w:t>, in-app? Is there a corporate gateway we are required to use, and who owns those credentials?</w:t>
      </w:r>
    </w:p>
    <w:p w:rsidR="004B5C36" w:rsidRPr="004B5C36" w:rsidRDefault="004B5C36" w:rsidP="004B5C36">
      <w:pPr>
        <w:numPr>
          <w:ilvl w:val="0"/>
          <w:numId w:val="8"/>
        </w:numPr>
      </w:pPr>
      <w:r w:rsidRPr="004B5C36">
        <w:t>Who receives what — by role, by site, by severity? Is there an existing escalation matrix we should encode rather than invent?</w:t>
      </w:r>
    </w:p>
    <w:p w:rsidR="004B5C36" w:rsidRPr="004B5C36" w:rsidRDefault="004B5C36" w:rsidP="004B5C36">
      <w:pPr>
        <w:numPr>
          <w:ilvl w:val="0"/>
          <w:numId w:val="8"/>
        </w:numPr>
      </w:pPr>
      <w:r w:rsidRPr="004B5C36">
        <w:lastRenderedPageBreak/>
        <w:t xml:space="preserve">Your reference screens show "SLA 30 </w:t>
      </w:r>
      <w:proofErr w:type="spellStart"/>
      <w:r w:rsidRPr="004B5C36">
        <w:t>mins</w:t>
      </w:r>
      <w:proofErr w:type="spellEnd"/>
      <w:r w:rsidRPr="004B5C36">
        <w:t>" and "SLA 1h" against work orders. Are these your actual response targets, and do they vary by severity, by plant type, or contractually by end customer?</w:t>
      </w:r>
    </w:p>
    <w:p w:rsidR="004B5C36" w:rsidRPr="004B5C36" w:rsidRDefault="004B5C36" w:rsidP="004B5C36">
      <w:pPr>
        <w:numPr>
          <w:ilvl w:val="0"/>
          <w:numId w:val="8"/>
        </w:numPr>
      </w:pPr>
      <w:r w:rsidRPr="004B5C36">
        <w:t>SOW §6 requires closure approval — who approves, and is it one level or two?</w:t>
      </w:r>
    </w:p>
    <w:p w:rsidR="004B5C36" w:rsidRPr="004B5C36" w:rsidRDefault="004B5C36" w:rsidP="004B5C36">
      <w:pPr>
        <w:rPr>
          <w:b/>
          <w:bCs/>
        </w:rPr>
      </w:pPr>
      <w:r w:rsidRPr="004B5C36">
        <w:rPr>
          <w:b/>
          <w:bCs/>
        </w:rPr>
        <w:t>B12. Enterprise systems we must integrate with</w:t>
      </w:r>
    </w:p>
    <w:p w:rsidR="004B5C36" w:rsidRPr="004B5C36" w:rsidRDefault="004B5C36" w:rsidP="004B5C36">
      <w:r w:rsidRPr="004B5C36">
        <w:rPr>
          <w:i/>
          <w:iCs/>
        </w:rPr>
        <w:t>SOW §6, §10</w:t>
      </w:r>
    </w:p>
    <w:p w:rsidR="004B5C36" w:rsidRPr="004B5C36" w:rsidRDefault="004B5C36" w:rsidP="004B5C36">
      <w:r w:rsidRPr="004B5C36">
        <w:t>SOW §10 names ERP, CMMS, historians, data lakes and third-party applications. Which of these actually exist in the phase-1 environment?</w:t>
      </w:r>
    </w:p>
    <w:p w:rsidR="004B5C36" w:rsidRPr="004B5C36" w:rsidRDefault="004B5C36" w:rsidP="004B5C36">
      <w:pPr>
        <w:numPr>
          <w:ilvl w:val="0"/>
          <w:numId w:val="9"/>
        </w:numPr>
      </w:pPr>
      <w:r w:rsidRPr="004B5C36">
        <w:t>CMMS / EAM (SAP PM, Maximo, in-house)? If one exists, does the platform feed it or replace it? §6 says "where required" — is it required here?</w:t>
      </w:r>
    </w:p>
    <w:p w:rsidR="004B5C36" w:rsidRPr="004B5C36" w:rsidRDefault="004B5C36" w:rsidP="004B5C36">
      <w:pPr>
        <w:numPr>
          <w:ilvl w:val="0"/>
          <w:numId w:val="9"/>
        </w:numPr>
      </w:pPr>
      <w:r w:rsidRPr="004B5C36">
        <w:t>ERP, historian or data lake that should receive exports — which product, and should the flow be push or pull?</w:t>
      </w:r>
    </w:p>
    <w:p w:rsidR="004B5C36" w:rsidRPr="004B5C36" w:rsidRDefault="004B5C36" w:rsidP="004B5C36">
      <w:pPr>
        <w:numPr>
          <w:ilvl w:val="0"/>
          <w:numId w:val="9"/>
        </w:numPr>
      </w:pPr>
      <w:r w:rsidRPr="004B5C36">
        <w:t>Who owns those systems, and is there an integration contact?</w:t>
      </w:r>
    </w:p>
    <w:p w:rsidR="004B5C36" w:rsidRPr="004B5C36" w:rsidRDefault="004B5C36" w:rsidP="004B5C36">
      <w:pPr>
        <w:rPr>
          <w:b/>
          <w:bCs/>
        </w:rPr>
      </w:pPr>
      <w:r w:rsidRPr="004B5C36">
        <w:rPr>
          <w:b/>
          <w:bCs/>
        </w:rPr>
        <w:t>B13. Security, identity and compliance</w:t>
      </w:r>
    </w:p>
    <w:p w:rsidR="004B5C36" w:rsidRPr="004B5C36" w:rsidRDefault="004B5C36" w:rsidP="004B5C36">
      <w:r w:rsidRPr="004B5C36">
        <w:rPr>
          <w:i/>
          <w:iCs/>
        </w:rPr>
        <w:t>SOW §12</w:t>
      </w:r>
    </w:p>
    <w:p w:rsidR="004B5C36" w:rsidRPr="004B5C36" w:rsidRDefault="004B5C36" w:rsidP="004B5C36">
      <w:r w:rsidRPr="004B5C36">
        <w:t>SOW §12 requires RBAC, SSO, MFA, encryption at rest and in transit, audit logging, and </w:t>
      </w:r>
      <w:r w:rsidRPr="004B5C36">
        <w:rPr>
          <w:i/>
          <w:iCs/>
        </w:rPr>
        <w:t xml:space="preserve">"compliance with applicable </w:t>
      </w:r>
      <w:proofErr w:type="spellStart"/>
      <w:r w:rsidRPr="004B5C36">
        <w:rPr>
          <w:i/>
          <w:iCs/>
        </w:rPr>
        <w:t>cybersecurity</w:t>
      </w:r>
      <w:proofErr w:type="spellEnd"/>
      <w:r w:rsidRPr="004B5C36">
        <w:rPr>
          <w:i/>
          <w:iCs/>
        </w:rPr>
        <w:t xml:space="preserve"> standards"</w:t>
      </w:r>
      <w:r w:rsidRPr="004B5C36">
        <w:t>.</w:t>
      </w:r>
    </w:p>
    <w:p w:rsidR="004B5C36" w:rsidRPr="004B5C36" w:rsidRDefault="004B5C36" w:rsidP="004B5C36">
      <w:pPr>
        <w:numPr>
          <w:ilvl w:val="0"/>
          <w:numId w:val="10"/>
        </w:numPr>
      </w:pPr>
      <w:r w:rsidRPr="004B5C36">
        <w:t xml:space="preserve">Single sign-on against which identity provider — Azure AD / </w:t>
      </w:r>
      <w:proofErr w:type="spellStart"/>
      <w:r w:rsidRPr="004B5C36">
        <w:t>Entra</w:t>
      </w:r>
      <w:proofErr w:type="spellEnd"/>
      <w:r w:rsidRPr="004B5C36">
        <w:t>, on-</w:t>
      </w:r>
      <w:proofErr w:type="spellStart"/>
      <w:r w:rsidRPr="004B5C36">
        <w:t>prem</w:t>
      </w:r>
      <w:proofErr w:type="spellEnd"/>
      <w:r w:rsidRPr="004B5C36">
        <w:t xml:space="preserve"> Active Directory, </w:t>
      </w:r>
      <w:proofErr w:type="spellStart"/>
      <w:r w:rsidRPr="004B5C36">
        <w:t>Okta</w:t>
      </w:r>
      <w:proofErr w:type="spellEnd"/>
      <w:r w:rsidRPr="004B5C36">
        <w:t>, or platform-local accounts for phase 1?</w:t>
      </w:r>
    </w:p>
    <w:p w:rsidR="004B5C36" w:rsidRPr="004B5C36" w:rsidRDefault="004B5C36" w:rsidP="004B5C36">
      <w:pPr>
        <w:numPr>
          <w:ilvl w:val="0"/>
          <w:numId w:val="10"/>
        </w:numPr>
      </w:pPr>
      <w:r w:rsidRPr="004B5C36">
        <w:t>MFA — enforced by your identity provider (its natural home if SSO is used), or expected from the platform itself?</w:t>
      </w:r>
    </w:p>
    <w:p w:rsidR="004B5C36" w:rsidRPr="004B5C36" w:rsidRDefault="004B5C36" w:rsidP="004B5C36">
      <w:pPr>
        <w:numPr>
          <w:ilvl w:val="0"/>
          <w:numId w:val="10"/>
        </w:numPr>
      </w:pPr>
      <w:r w:rsidRPr="004B5C36">
        <w:t>Which standards does "applicable" mean in practice — ISO 27001, IEC 62443, SOC 2, an internal Ion Exchange policy, or an end-customer requirement? This is the one clause in §12 we cannot scope as written. If a security questionnaire or policy document exists, sharing it answers this faster than a discussion.</w:t>
      </w:r>
    </w:p>
    <w:p w:rsidR="004B5C36" w:rsidRPr="004B5C36" w:rsidRDefault="004B5C36" w:rsidP="004B5C36">
      <w:pPr>
        <w:numPr>
          <w:ilvl w:val="0"/>
          <w:numId w:val="10"/>
        </w:numPr>
      </w:pPr>
      <w:r w:rsidRPr="004B5C36">
        <w:t>Who defines the user roles, and does an approved role list already exist?</w:t>
      </w:r>
    </w:p>
    <w:p w:rsidR="004B5C36" w:rsidRPr="004B5C36" w:rsidRDefault="004B5C36" w:rsidP="004B5C36">
      <w:pPr>
        <w:rPr>
          <w:b/>
          <w:bCs/>
        </w:rPr>
      </w:pPr>
      <w:r w:rsidRPr="004B5C36">
        <w:rPr>
          <w:b/>
          <w:bCs/>
        </w:rPr>
        <w:t>B14. The figures behind sustainability reporting</w:t>
      </w:r>
    </w:p>
    <w:p w:rsidR="004B5C36" w:rsidRPr="004B5C36" w:rsidRDefault="004B5C36" w:rsidP="004B5C36">
      <w:r w:rsidRPr="004B5C36">
        <w:rPr>
          <w:i/>
          <w:iCs/>
        </w:rPr>
        <w:t>SOW §7</w:t>
      </w:r>
    </w:p>
    <w:p w:rsidR="004B5C36" w:rsidRPr="004B5C36" w:rsidRDefault="004B5C36" w:rsidP="004B5C36">
      <w:r w:rsidRPr="004B5C36">
        <w:t>SOW §7 requires energy, water and chemical savings, carbon reduction, wastewater recovery, efficiency and cost optimisation. A saving is measured against something, and that something cannot be invented:</w:t>
      </w:r>
    </w:p>
    <w:p w:rsidR="004B5C36" w:rsidRPr="004B5C36" w:rsidRDefault="004B5C36" w:rsidP="004B5C36">
      <w:pPr>
        <w:numPr>
          <w:ilvl w:val="0"/>
          <w:numId w:val="11"/>
        </w:numPr>
      </w:pPr>
      <w:r w:rsidRPr="004B5C36">
        <w:t>Energy tariff (₹/kWh) and water / effluent cost (₹/</w:t>
      </w:r>
      <w:proofErr w:type="spellStart"/>
      <w:r w:rsidRPr="004B5C36">
        <w:t>kL</w:t>
      </w:r>
      <w:proofErr w:type="spellEnd"/>
      <w:r w:rsidRPr="004B5C36">
        <w:t>) — flat, slab or time-of-day? Do they vary by site?</w:t>
      </w:r>
    </w:p>
    <w:p w:rsidR="004B5C36" w:rsidRPr="004B5C36" w:rsidRDefault="004B5C36" w:rsidP="004B5C36">
      <w:pPr>
        <w:numPr>
          <w:ilvl w:val="0"/>
          <w:numId w:val="11"/>
        </w:numPr>
      </w:pPr>
      <w:r w:rsidRPr="004B5C36">
        <w:t>Carbon factors — a standard grid emission factor, or a customer-specific one?</w:t>
      </w:r>
    </w:p>
    <w:p w:rsidR="004B5C36" w:rsidRPr="004B5C36" w:rsidRDefault="004B5C36" w:rsidP="004B5C36">
      <w:pPr>
        <w:numPr>
          <w:ilvl w:val="0"/>
          <w:numId w:val="11"/>
        </w:numPr>
      </w:pPr>
      <w:r w:rsidRPr="004B5C36">
        <w:t>Baselines — is a saving measured against last year, design specification, or a commissioning benchmark?</w:t>
      </w:r>
    </w:p>
    <w:p w:rsidR="004B5C36" w:rsidRPr="004B5C36" w:rsidRDefault="004B5C36" w:rsidP="004B5C36">
      <w:pPr>
        <w:numPr>
          <w:ilvl w:val="0"/>
          <w:numId w:val="11"/>
        </w:numPr>
      </w:pPr>
      <w:r w:rsidRPr="004B5C36">
        <w:lastRenderedPageBreak/>
        <w:t>Your reference dashboard promotes Water Recycle % and Operational Efficiency % to top-level KPIs. Please define each one — numerator and denominator. We would rather ask than assume a formula that appears on an executive screen.</w:t>
      </w:r>
    </w:p>
    <w:p w:rsidR="004B5C36" w:rsidRPr="004B5C36" w:rsidRDefault="004B5C36" w:rsidP="004B5C36">
      <w:pPr>
        <w:rPr>
          <w:b/>
          <w:bCs/>
        </w:rPr>
      </w:pPr>
      <w:r w:rsidRPr="004B5C36">
        <w:rPr>
          <w:b/>
          <w:bCs/>
        </w:rPr>
        <w:t>B15. Inputs to the Asset Health Score</w:t>
      </w:r>
    </w:p>
    <w:p w:rsidR="004B5C36" w:rsidRPr="004B5C36" w:rsidRDefault="004B5C36" w:rsidP="004B5C36">
      <w:r w:rsidRPr="004B5C36">
        <w:rPr>
          <w:i/>
          <w:iCs/>
        </w:rPr>
        <w:t>SOW §4.3</w:t>
      </w:r>
    </w:p>
    <w:p w:rsidR="004B5C36" w:rsidRPr="004B5C36" w:rsidRDefault="004B5C36" w:rsidP="004B5C36">
      <w:r w:rsidRPr="004B5C36">
        <w:t>SOW §4.3 states that the health score evaluates operational conditions, historical performance, maintenance records, environmental factors and equipment utilisation. Live telemetry we will have; the remainder we will not, unless:</w:t>
      </w:r>
    </w:p>
    <w:p w:rsidR="004B5C36" w:rsidRPr="004B5C36" w:rsidRDefault="004B5C36" w:rsidP="004B5C36">
      <w:pPr>
        <w:numPr>
          <w:ilvl w:val="0"/>
          <w:numId w:val="12"/>
        </w:numPr>
      </w:pPr>
      <w:r w:rsidRPr="004B5C36">
        <w:t>Maintenance records — do these exist digitally today, and in which system? (Related to B12.)</w:t>
      </w:r>
    </w:p>
    <w:p w:rsidR="004B5C36" w:rsidRPr="004B5C36" w:rsidRDefault="004B5C36" w:rsidP="004B5C36">
      <w:pPr>
        <w:numPr>
          <w:ilvl w:val="0"/>
          <w:numId w:val="12"/>
        </w:numPr>
      </w:pPr>
      <w:r w:rsidRPr="004B5C36">
        <w:t>Environmental factors — from site instrumentation, or an external weather source?</w:t>
      </w:r>
    </w:p>
    <w:p w:rsidR="004B5C36" w:rsidRPr="004B5C36" w:rsidRDefault="004B5C36" w:rsidP="004B5C36">
      <w:pPr>
        <w:numPr>
          <w:ilvl w:val="0"/>
          <w:numId w:val="12"/>
        </w:numPr>
      </w:pPr>
      <w:r w:rsidRPr="004B5C36">
        <w:t>Is there historical telemetry we can backfill from, or does the record begin on the day we connect? This determines whether models can be trained at go-live or only after a season of operation.</w:t>
      </w:r>
    </w:p>
    <w:p w:rsidR="004B5C36" w:rsidRPr="004B5C36" w:rsidRDefault="004B5C36" w:rsidP="004B5C36">
      <w:pPr>
        <w:rPr>
          <w:b/>
          <w:bCs/>
        </w:rPr>
      </w:pPr>
      <w:r w:rsidRPr="004B5C36">
        <w:rPr>
          <w:b/>
          <w:bCs/>
        </w:rPr>
        <w:t>B16. Data retention and statutory reporting</w:t>
      </w:r>
    </w:p>
    <w:p w:rsidR="004B5C36" w:rsidRPr="004B5C36" w:rsidRDefault="004B5C36" w:rsidP="004B5C36">
      <w:r w:rsidRPr="004B5C36">
        <w:t>The platform currently retains raw telemetry for two years, with hourly and daily aggregates kept indefinitely.</w:t>
      </w:r>
    </w:p>
    <w:p w:rsidR="004B5C36" w:rsidRPr="004B5C36" w:rsidRDefault="004B5C36" w:rsidP="004B5C36">
      <w:pPr>
        <w:numPr>
          <w:ilvl w:val="0"/>
          <w:numId w:val="13"/>
        </w:numPr>
      </w:pPr>
      <w:r w:rsidRPr="004B5C36">
        <w:t>Does two years of raw data meet your obligations, or is a longer period required?</w:t>
      </w:r>
    </w:p>
    <w:p w:rsidR="004B5C36" w:rsidRPr="004B5C36" w:rsidRDefault="004B5C36" w:rsidP="004B5C36">
      <w:pPr>
        <w:numPr>
          <w:ilvl w:val="0"/>
          <w:numId w:val="13"/>
        </w:numPr>
      </w:pPr>
      <w:r w:rsidRPr="004B5C36">
        <w:t>Is there any statutory reporting or real-time data submission — to SPCB or CPCB, or to your end customers — that the platform is expected to produce or feed? If so, in what format and on what schedule? We have assumed none, as the SOW does not refer to it.</w:t>
      </w:r>
    </w:p>
    <w:p w:rsidR="004B5C36" w:rsidRPr="004B5C36" w:rsidRDefault="004B5C36" w:rsidP="004B5C36">
      <w:r w:rsidRPr="004B5C36">
        <w:pict>
          <v:rect id="_x0000_i1029" style="width:0;height:0" o:hralign="center" o:hrstd="t" o:hr="t" fillcolor="#a0a0a0" stroked="f"/>
        </w:pict>
      </w:r>
    </w:p>
    <w:p w:rsidR="004B5C36" w:rsidRPr="004B5C36" w:rsidRDefault="004B5C36" w:rsidP="004B5C36">
      <w:pPr>
        <w:rPr>
          <w:b/>
          <w:bCs/>
        </w:rPr>
      </w:pPr>
      <w:r w:rsidRPr="004B5C36">
        <w:rPr>
          <w:b/>
          <w:bCs/>
        </w:rPr>
        <w:t>Part C — Presentation, naming and delivery logistics</w:t>
      </w:r>
    </w:p>
    <w:p w:rsidR="004B5C36" w:rsidRPr="004B5C36" w:rsidRDefault="004B5C36" w:rsidP="004B5C36">
      <w:pPr>
        <w:rPr>
          <w:b/>
          <w:bCs/>
        </w:rPr>
      </w:pPr>
      <w:r w:rsidRPr="004B5C36">
        <w:rPr>
          <w:b/>
          <w:bCs/>
        </w:rPr>
        <w:t>C17. Internal product naming</w:t>
      </w:r>
    </w:p>
    <w:p w:rsidR="004B5C36" w:rsidRPr="004B5C36" w:rsidRDefault="004B5C36" w:rsidP="004B5C36">
      <w:r w:rsidRPr="004B5C36">
        <w:rPr>
          <w:i/>
          <w:iCs/>
        </w:rPr>
        <w:t>SOW §3, §4.1</w:t>
      </w:r>
    </w:p>
    <w:p w:rsidR="004B5C36" w:rsidRPr="004B5C36" w:rsidRDefault="004B5C36" w:rsidP="004B5C36">
      <w:r w:rsidRPr="004B5C36">
        <w:t>We would prefer to use Ion Exchange's own product names rather than generic ones on an operator's screen. We have seen INDION FMR, NGPSTP and Eco MBR referenced for packaged sewage treatment; we are less certain on the RO, DM and softener side. Please confirm or correct these, including how you would like them written in a customer-facing screen.</w:t>
      </w:r>
    </w:p>
    <w:p w:rsidR="004B5C36" w:rsidRPr="004B5C36" w:rsidRDefault="004B5C36" w:rsidP="004B5C36">
      <w:pPr>
        <w:rPr>
          <w:b/>
          <w:bCs/>
        </w:rPr>
      </w:pPr>
      <w:r w:rsidRPr="004B5C36">
        <w:rPr>
          <w:b/>
          <w:bCs/>
        </w:rPr>
        <w:t>C18. The reference dashboards — requirement or illustration?</w:t>
      </w:r>
    </w:p>
    <w:p w:rsidR="004B5C36" w:rsidRPr="004B5C36" w:rsidRDefault="004B5C36" w:rsidP="004B5C36">
      <w:r w:rsidRPr="004B5C36">
        <w:rPr>
          <w:i/>
          <w:iCs/>
        </w:rPr>
        <w:t>SOW pp. 9–10</w:t>
      </w:r>
    </w:p>
    <w:p w:rsidR="004B5C36" w:rsidRPr="004B5C36" w:rsidRDefault="004B5C36" w:rsidP="004B5C36">
      <w:pPr>
        <w:numPr>
          <w:ilvl w:val="0"/>
          <w:numId w:val="14"/>
        </w:numPr>
      </w:pPr>
      <w:r w:rsidRPr="004B5C36">
        <w:t xml:space="preserve">C18a. The reference screens are dark-canvas with neon accents; the approved </w:t>
      </w:r>
      <w:proofErr w:type="spellStart"/>
      <w:r w:rsidRPr="004B5C36">
        <w:t>mockups</w:t>
      </w:r>
      <w:proofErr w:type="spellEnd"/>
      <w:r w:rsidRPr="004B5C36">
        <w:t xml:space="preserve"> and every screen built to date are light. Is the dark treatment a requirement, or is the layout the point being made?</w:t>
      </w:r>
    </w:p>
    <w:p w:rsidR="004B5C36" w:rsidRPr="004B5C36" w:rsidRDefault="004B5C36" w:rsidP="004B5C36">
      <w:pPr>
        <w:numPr>
          <w:ilvl w:val="0"/>
          <w:numId w:val="14"/>
        </w:numPr>
      </w:pPr>
      <w:r w:rsidRPr="004B5C36">
        <w:t xml:space="preserve">C18b. The reference sidebar carries one entry per domain (Electrical · Water · STP · ETP · HVAC · Alarms · Work Orders · Assets · Analytics · Reports · Sustainability); ours groups by </w:t>
      </w:r>
      <w:r w:rsidRPr="004B5C36">
        <w:lastRenderedPageBreak/>
        <w:t>function. Is per-domain navigation what your operators expect? If so, are STP and ETP plant types </w:t>
      </w:r>
      <w:r w:rsidRPr="004B5C36">
        <w:rPr>
          <w:i/>
          <w:iCs/>
        </w:rPr>
        <w:t>within</w:t>
      </w:r>
      <w:r w:rsidRPr="004B5C36">
        <w:t> Water, or top-level peers of Electrical?</w:t>
      </w:r>
    </w:p>
    <w:p w:rsidR="004B5C36" w:rsidRPr="004B5C36" w:rsidRDefault="004B5C36" w:rsidP="004B5C36">
      <w:pPr>
        <w:numPr>
          <w:ilvl w:val="0"/>
          <w:numId w:val="14"/>
        </w:numPr>
      </w:pPr>
      <w:r w:rsidRPr="004B5C36">
        <w:t>C18c. The reference sidebar footer reads "Data Quality 98.6% Good". What would you want that figure to represent — sensor freshness, ingest completeness, or a measure you already report?</w:t>
      </w:r>
    </w:p>
    <w:p w:rsidR="004B5C36" w:rsidRPr="004B5C36" w:rsidRDefault="004B5C36" w:rsidP="004B5C36">
      <w:pPr>
        <w:rPr>
          <w:b/>
          <w:bCs/>
        </w:rPr>
      </w:pPr>
      <w:r w:rsidRPr="004B5C36">
        <w:rPr>
          <w:b/>
          <w:bCs/>
        </w:rPr>
        <w:t>C19. Stakeholder dashboards and their reviewers</w:t>
      </w:r>
    </w:p>
    <w:p w:rsidR="004B5C36" w:rsidRPr="004B5C36" w:rsidRDefault="004B5C36" w:rsidP="004B5C36">
      <w:r w:rsidRPr="004B5C36">
        <w:rPr>
          <w:i/>
          <w:iCs/>
        </w:rPr>
        <w:t>SOW §9</w:t>
      </w:r>
    </w:p>
    <w:p w:rsidR="004B5C36" w:rsidRPr="004B5C36" w:rsidRDefault="004B5C36" w:rsidP="004B5C36">
      <w:r w:rsidRPr="004B5C36">
        <w:t>SOW §9 names six stakeholder groups — Executive Management, Plant Operations, Maintenance, Sustainability, Utility Managers and Facility Managers. Which exist at the first deployment, who is the named reviewer for each, and is there a preferred default landing screen per role?</w:t>
      </w:r>
    </w:p>
    <w:p w:rsidR="004B5C36" w:rsidRPr="004B5C36" w:rsidRDefault="004B5C36" w:rsidP="004B5C36">
      <w:pPr>
        <w:rPr>
          <w:b/>
          <w:bCs/>
        </w:rPr>
      </w:pPr>
      <w:r w:rsidRPr="004B5C36">
        <w:rPr>
          <w:b/>
          <w:bCs/>
        </w:rPr>
        <w:t>C20. Instrumentation — supply or integration?</w:t>
      </w:r>
    </w:p>
    <w:p w:rsidR="004B5C36" w:rsidRPr="004B5C36" w:rsidRDefault="004B5C36" w:rsidP="004B5C36">
      <w:r w:rsidRPr="004B5C36">
        <w:rPr>
          <w:i/>
          <w:iCs/>
        </w:rPr>
        <w:t>SOW §8</w:t>
      </w:r>
    </w:p>
    <w:p w:rsidR="004B5C36" w:rsidRPr="004B5C36" w:rsidRDefault="004B5C36" w:rsidP="004B5C36">
      <w:r w:rsidRPr="004B5C36">
        <w:t>SOW §8 states that the Vendor </w:t>
      </w:r>
      <w:r w:rsidRPr="004B5C36">
        <w:rPr>
          <w:i/>
          <w:iCs/>
        </w:rPr>
        <w:t>"shall support integration and deployment"</w:t>
      </w:r>
      <w:r w:rsidRPr="004B5C36">
        <w:t> of fifteen instrument and gateway types. We read this as integration scope, with supply and physical installation on the project/procurement side. Please confirm — and in either case we require the fitment schedule, since nothing can be tested against a real plant until the instruments are in place.</w:t>
      </w:r>
    </w:p>
    <w:p w:rsidR="004B5C36" w:rsidRPr="004B5C36" w:rsidRDefault="004B5C36" w:rsidP="004B5C36">
      <w:pPr>
        <w:rPr>
          <w:b/>
          <w:bCs/>
        </w:rPr>
      </w:pPr>
      <w:r w:rsidRPr="004B5C36">
        <w:rPr>
          <w:b/>
          <w:bCs/>
        </w:rPr>
        <w:t>C21. Delivery logistics</w:t>
      </w:r>
    </w:p>
    <w:p w:rsidR="004B5C36" w:rsidRPr="004B5C36" w:rsidRDefault="004B5C36" w:rsidP="004B5C36">
      <w:r w:rsidRPr="004B5C36">
        <w:rPr>
          <w:i/>
          <w:iCs/>
        </w:rPr>
        <w:t>SOW §13</w:t>
      </w:r>
    </w:p>
    <w:p w:rsidR="004B5C36" w:rsidRPr="004B5C36" w:rsidRDefault="004B5C36" w:rsidP="004B5C36">
      <w:r w:rsidRPr="004B5C36">
        <w:t>SOW §13 covers documentation, training and post-deployment support without detail. To plan them:</w:t>
      </w:r>
    </w:p>
    <w:p w:rsidR="004B5C36" w:rsidRPr="004B5C36" w:rsidRDefault="004B5C36" w:rsidP="004B5C36">
      <w:pPr>
        <w:numPr>
          <w:ilvl w:val="0"/>
          <w:numId w:val="15"/>
        </w:numPr>
      </w:pPr>
      <w:r w:rsidRPr="004B5C36">
        <w:t>C21a. Environments — are separate development, UAT and production environments required, and who hosts each?</w:t>
      </w:r>
    </w:p>
    <w:p w:rsidR="004B5C36" w:rsidRPr="004B5C36" w:rsidRDefault="004B5C36" w:rsidP="004B5C36">
      <w:pPr>
        <w:numPr>
          <w:ilvl w:val="0"/>
          <w:numId w:val="15"/>
        </w:numPr>
      </w:pPr>
      <w:r w:rsidRPr="004B5C36">
        <w:t>C21b. Acceptance — what is the UAT process, who signs off, and against what criteria? Should a phase-1 scope freeze be recorded?</w:t>
      </w:r>
    </w:p>
    <w:p w:rsidR="004B5C36" w:rsidRPr="004B5C36" w:rsidRDefault="004B5C36" w:rsidP="004B5C36">
      <w:pPr>
        <w:numPr>
          <w:ilvl w:val="0"/>
          <w:numId w:val="15"/>
        </w:numPr>
      </w:pPr>
      <w:r w:rsidRPr="004B5C36">
        <w:t>C21c. Training — which audiences (operators, maintenance, administrators, and the Ion Exchange engineering team building templates on top), in what format, and for how many people?</w:t>
      </w:r>
    </w:p>
    <w:p w:rsidR="004B5C36" w:rsidRPr="004B5C36" w:rsidRDefault="004B5C36" w:rsidP="004B5C36">
      <w:pPr>
        <w:numPr>
          <w:ilvl w:val="0"/>
          <w:numId w:val="15"/>
        </w:numPr>
      </w:pPr>
      <w:r w:rsidRPr="004B5C36">
        <w:t>C21d. Support — expected response and uptime commitments, support hours, and warranty period following go-live.</w:t>
      </w:r>
    </w:p>
    <w:p w:rsidR="004B5C36" w:rsidRPr="004B5C36" w:rsidRDefault="004B5C36" w:rsidP="004B5C36">
      <w:pPr>
        <w:numPr>
          <w:ilvl w:val="0"/>
          <w:numId w:val="15"/>
        </w:numPr>
      </w:pPr>
      <w:r w:rsidRPr="004B5C36">
        <w:t>C21e. A named single point of contact with authority over the above, and a UAT owner on the Ion Exchange side.</w:t>
      </w:r>
    </w:p>
    <w:p w:rsidR="004B5C36" w:rsidRPr="004B5C36" w:rsidRDefault="004B5C36" w:rsidP="004B5C36">
      <w:pPr>
        <w:numPr>
          <w:ilvl w:val="0"/>
          <w:numId w:val="15"/>
        </w:numPr>
      </w:pPr>
      <w:r w:rsidRPr="004B5C36">
        <w:t>C21f. A date for the next review.</w:t>
      </w:r>
    </w:p>
    <w:p w:rsidR="004B5C36" w:rsidRPr="004B5C36" w:rsidRDefault="004B5C36" w:rsidP="004B5C36">
      <w:pPr>
        <w:rPr>
          <w:b/>
          <w:bCs/>
        </w:rPr>
      </w:pPr>
      <w:r w:rsidRPr="004B5C36">
        <w:rPr>
          <w:b/>
          <w:bCs/>
        </w:rPr>
        <w:t>C22. Sites and branding</w:t>
      </w:r>
    </w:p>
    <w:p w:rsidR="004B5C36" w:rsidRPr="004B5C36" w:rsidRDefault="004B5C36" w:rsidP="004B5C36">
      <w:pPr>
        <w:numPr>
          <w:ilvl w:val="0"/>
          <w:numId w:val="16"/>
        </w:numPr>
      </w:pPr>
      <w:r w:rsidRPr="004B5C36">
        <w:t>C22a. The site list and hierarchy for phase 1 (organisation → site → plant → asset), even provisionally.</w:t>
      </w:r>
    </w:p>
    <w:p w:rsidR="004B5C36" w:rsidRPr="004B5C36" w:rsidRDefault="004B5C36" w:rsidP="004B5C36">
      <w:pPr>
        <w:numPr>
          <w:ilvl w:val="0"/>
          <w:numId w:val="16"/>
        </w:numPr>
      </w:pPr>
      <w:r w:rsidRPr="004B5C36">
        <w:t>C22b. Brand assets — logo, colours, and how TRINETRA and Ion Exchange are to be presented together in the application header and on reports.</w:t>
      </w:r>
    </w:p>
    <w:p w:rsidR="004B5C36" w:rsidRPr="004B5C36" w:rsidRDefault="004B5C36" w:rsidP="004B5C36">
      <w:r w:rsidRPr="004B5C36">
        <w:lastRenderedPageBreak/>
        <w:pict>
          <v:rect id="_x0000_i1030" style="width:0;height:0" o:hralign="center" o:hrstd="t" o:hr="t" fillcolor="#a0a0a0" stroked="f"/>
        </w:pict>
      </w:r>
    </w:p>
    <w:p w:rsidR="004B5C36" w:rsidRPr="004B5C36" w:rsidRDefault="004B5C36" w:rsidP="004B5C36">
      <w:pPr>
        <w:rPr>
          <w:b/>
          <w:bCs/>
        </w:rPr>
      </w:pPr>
      <w:r w:rsidRPr="004B5C36">
        <w:rPr>
          <w:b/>
          <w:bCs/>
        </w:rPr>
        <w:t xml:space="preserve">5. What happens </w:t>
      </w:r>
      <w:proofErr w:type="gramStart"/>
      <w:r w:rsidRPr="004B5C36">
        <w:rPr>
          <w:b/>
          <w:bCs/>
        </w:rPr>
        <w:t>next</w:t>
      </w:r>
      <w:proofErr w:type="gramEnd"/>
    </w:p>
    <w:p w:rsidR="004B5C36" w:rsidRPr="004B5C36" w:rsidRDefault="004B5C36" w:rsidP="004B5C36">
      <w:pPr>
        <w:numPr>
          <w:ilvl w:val="0"/>
          <w:numId w:val="17"/>
        </w:numPr>
      </w:pPr>
      <w:r w:rsidRPr="004B5C36">
        <w:t>Ion Exchange returns the Response Form — partially is fine, and the four items in section 3 first. Section 4's assumptions can be confirmed as a block.</w:t>
      </w:r>
    </w:p>
    <w:p w:rsidR="004B5C36" w:rsidRPr="004B5C36" w:rsidRDefault="004B5C36" w:rsidP="004B5C36">
      <w:pPr>
        <w:numPr>
          <w:ilvl w:val="0"/>
          <w:numId w:val="17"/>
        </w:numPr>
      </w:pPr>
      <w:r w:rsidRPr="004B5C36">
        <w:t>We confirm in writing what each answer changes in the delivery plan, and re-issue the plan where an answer moves it.</w:t>
      </w:r>
    </w:p>
    <w:p w:rsidR="004B5C36" w:rsidRPr="004B5C36" w:rsidRDefault="004B5C36" w:rsidP="004B5C36">
      <w:pPr>
        <w:numPr>
          <w:ilvl w:val="0"/>
          <w:numId w:val="17"/>
        </w:numPr>
      </w:pPr>
      <w:r w:rsidRPr="004B5C36">
        <w:t>Any item still open at the next review stays in section 4 as a stated assumption, carried forward with a date, so that it remains visible rather than becoming silent.</w:t>
      </w:r>
    </w:p>
    <w:p w:rsidR="004B5C36" w:rsidRPr="004B5C36" w:rsidRDefault="004B5C36" w:rsidP="004B5C36">
      <w:r w:rsidRPr="004B5C36">
        <w:rPr>
          <w:i/>
          <w:iCs/>
        </w:rPr>
        <w:t xml:space="preserve">Prepared by Euphoria </w:t>
      </w:r>
      <w:proofErr w:type="spellStart"/>
      <w:r w:rsidRPr="004B5C36">
        <w:rPr>
          <w:i/>
          <w:iCs/>
        </w:rPr>
        <w:t>Infotech</w:t>
      </w:r>
      <w:proofErr w:type="spellEnd"/>
      <w:r w:rsidRPr="004B5C36">
        <w:rPr>
          <w:i/>
          <w:iCs/>
        </w:rPr>
        <w:t xml:space="preserve"> India Limited. Questions on this document may be directed to the Euphoria</w:t>
      </w:r>
      <w:bookmarkStart w:id="0" w:name="_GoBack"/>
      <w:bookmarkEnd w:id="0"/>
      <w:r w:rsidRPr="004B5C36">
        <w:rPr>
          <w:i/>
          <w:iCs/>
        </w:rPr>
        <w:t>.</w:t>
      </w:r>
    </w:p>
    <w:p w:rsidR="00795296" w:rsidRDefault="00D82C03"/>
    <w:sectPr w:rsidR="007952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CC5A97"/>
    <w:multiLevelType w:val="multilevel"/>
    <w:tmpl w:val="1C9A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1E4C14"/>
    <w:multiLevelType w:val="multilevel"/>
    <w:tmpl w:val="DC58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947553"/>
    <w:multiLevelType w:val="multilevel"/>
    <w:tmpl w:val="75F0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721964"/>
    <w:multiLevelType w:val="multilevel"/>
    <w:tmpl w:val="A7B4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DB0C3B"/>
    <w:multiLevelType w:val="multilevel"/>
    <w:tmpl w:val="B4EE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9420C9"/>
    <w:multiLevelType w:val="multilevel"/>
    <w:tmpl w:val="DAAA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C03765"/>
    <w:multiLevelType w:val="multilevel"/>
    <w:tmpl w:val="CF2A3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B892D70"/>
    <w:multiLevelType w:val="multilevel"/>
    <w:tmpl w:val="D2C2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EDA600D"/>
    <w:multiLevelType w:val="multilevel"/>
    <w:tmpl w:val="46D0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F3220A4"/>
    <w:multiLevelType w:val="multilevel"/>
    <w:tmpl w:val="CBEC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3F6010"/>
    <w:multiLevelType w:val="multilevel"/>
    <w:tmpl w:val="0E2E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B0C55ED"/>
    <w:multiLevelType w:val="multilevel"/>
    <w:tmpl w:val="6CF6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E9740FF"/>
    <w:multiLevelType w:val="multilevel"/>
    <w:tmpl w:val="85B8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6DB50AD"/>
    <w:multiLevelType w:val="multilevel"/>
    <w:tmpl w:val="93EE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8D6657F"/>
    <w:multiLevelType w:val="multilevel"/>
    <w:tmpl w:val="2D5A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5E30BB7"/>
    <w:multiLevelType w:val="multilevel"/>
    <w:tmpl w:val="2E14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A6F60F0"/>
    <w:multiLevelType w:val="multilevel"/>
    <w:tmpl w:val="32DC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
  </w:num>
  <w:num w:numId="3">
    <w:abstractNumId w:val="8"/>
  </w:num>
  <w:num w:numId="4">
    <w:abstractNumId w:val="0"/>
  </w:num>
  <w:num w:numId="5">
    <w:abstractNumId w:val="10"/>
  </w:num>
  <w:num w:numId="6">
    <w:abstractNumId w:val="12"/>
  </w:num>
  <w:num w:numId="7">
    <w:abstractNumId w:val="7"/>
  </w:num>
  <w:num w:numId="8">
    <w:abstractNumId w:val="15"/>
  </w:num>
  <w:num w:numId="9">
    <w:abstractNumId w:val="9"/>
  </w:num>
  <w:num w:numId="10">
    <w:abstractNumId w:val="5"/>
  </w:num>
  <w:num w:numId="11">
    <w:abstractNumId w:val="14"/>
  </w:num>
  <w:num w:numId="12">
    <w:abstractNumId w:val="11"/>
  </w:num>
  <w:num w:numId="13">
    <w:abstractNumId w:val="4"/>
  </w:num>
  <w:num w:numId="14">
    <w:abstractNumId w:val="1"/>
  </w:num>
  <w:num w:numId="15">
    <w:abstractNumId w:val="3"/>
  </w:num>
  <w:num w:numId="16">
    <w:abstractNumId w:val="13"/>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C36"/>
    <w:rsid w:val="00013A0E"/>
    <w:rsid w:val="00256270"/>
    <w:rsid w:val="004B5C36"/>
    <w:rsid w:val="00D82C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10B54D-A4BB-4432-85A5-B89028624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074428">
      <w:bodyDiv w:val="1"/>
      <w:marLeft w:val="0"/>
      <w:marRight w:val="0"/>
      <w:marTop w:val="0"/>
      <w:marBottom w:val="0"/>
      <w:divBdr>
        <w:top w:val="none" w:sz="0" w:space="0" w:color="auto"/>
        <w:left w:val="none" w:sz="0" w:space="0" w:color="auto"/>
        <w:bottom w:val="none" w:sz="0" w:space="0" w:color="auto"/>
        <w:right w:val="none" w:sz="0" w:space="0" w:color="auto"/>
      </w:divBdr>
      <w:divsChild>
        <w:div w:id="692927508">
          <w:marLeft w:val="0"/>
          <w:marRight w:val="0"/>
          <w:marTop w:val="0"/>
          <w:marBottom w:val="240"/>
          <w:divBdr>
            <w:top w:val="none" w:sz="0" w:space="0" w:color="auto"/>
            <w:left w:val="none" w:sz="0" w:space="0" w:color="auto"/>
            <w:bottom w:val="none" w:sz="0" w:space="0" w:color="auto"/>
            <w:right w:val="none" w:sz="0" w:space="0" w:color="auto"/>
          </w:divBdr>
        </w:div>
        <w:div w:id="1922761279">
          <w:marLeft w:val="0"/>
          <w:marRight w:val="0"/>
          <w:marTop w:val="0"/>
          <w:marBottom w:val="240"/>
          <w:divBdr>
            <w:top w:val="none" w:sz="0" w:space="0" w:color="auto"/>
            <w:left w:val="none" w:sz="0" w:space="0" w:color="auto"/>
            <w:bottom w:val="none" w:sz="0" w:space="0" w:color="auto"/>
            <w:right w:val="none" w:sz="0" w:space="0" w:color="auto"/>
          </w:divBdr>
        </w:div>
      </w:divsChild>
    </w:div>
    <w:div w:id="8462903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893">
          <w:marLeft w:val="0"/>
          <w:marRight w:val="0"/>
          <w:marTop w:val="0"/>
          <w:marBottom w:val="240"/>
          <w:divBdr>
            <w:top w:val="none" w:sz="0" w:space="0" w:color="auto"/>
            <w:left w:val="none" w:sz="0" w:space="0" w:color="auto"/>
            <w:bottom w:val="none" w:sz="0" w:space="0" w:color="auto"/>
            <w:right w:val="none" w:sz="0" w:space="0" w:color="auto"/>
          </w:divBdr>
        </w:div>
        <w:div w:id="1895460996">
          <w:marLeft w:val="0"/>
          <w:marRight w:val="0"/>
          <w:marTop w:val="0"/>
          <w:marBottom w:val="240"/>
          <w:divBdr>
            <w:top w:val="none" w:sz="0" w:space="0" w:color="auto"/>
            <w:left w:val="none" w:sz="0" w:space="0" w:color="auto"/>
            <w:bottom w:val="none" w:sz="0" w:space="0" w:color="auto"/>
            <w:right w:val="none" w:sz="0" w:space="0" w:color="auto"/>
          </w:divBdr>
        </w:div>
      </w:divsChild>
    </w:div>
    <w:div w:id="1242374075">
      <w:bodyDiv w:val="1"/>
      <w:marLeft w:val="0"/>
      <w:marRight w:val="0"/>
      <w:marTop w:val="0"/>
      <w:marBottom w:val="0"/>
      <w:divBdr>
        <w:top w:val="none" w:sz="0" w:space="0" w:color="auto"/>
        <w:left w:val="none" w:sz="0" w:space="0" w:color="auto"/>
        <w:bottom w:val="none" w:sz="0" w:space="0" w:color="auto"/>
        <w:right w:val="none" w:sz="0" w:space="0" w:color="auto"/>
      </w:divBdr>
      <w:divsChild>
        <w:div w:id="283081097">
          <w:marLeft w:val="0"/>
          <w:marRight w:val="0"/>
          <w:marTop w:val="0"/>
          <w:marBottom w:val="240"/>
          <w:divBdr>
            <w:top w:val="none" w:sz="0" w:space="0" w:color="auto"/>
            <w:left w:val="none" w:sz="0" w:space="0" w:color="auto"/>
            <w:bottom w:val="none" w:sz="0" w:space="0" w:color="auto"/>
            <w:right w:val="none" w:sz="0" w:space="0" w:color="auto"/>
          </w:divBdr>
        </w:div>
        <w:div w:id="911503913">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3349</Words>
  <Characters>19091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Bappaditya Dasgupta</dc:creator>
  <cp:keywords/>
  <dc:description/>
  <cp:lastModifiedBy>Bappaditya Dasgupta</cp:lastModifiedBy>
  <cp:revision>2</cp:revision>
  <dcterms:created xsi:type="dcterms:W3CDTF">2026-08-17T04:06:00Z</dcterms:created>
  <dcterms:modified xsi:type="dcterms:W3CDTF">2026-08-17T04:12:00Z</dcterms:modified>
</cp:coreProperties>
</file>