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b/>
          <w:bCs/>
          <w:color w:val="111318"/>
          <w:sz w:val="54"/>
          <w:szCs w:val="54"/>
        </w:rPr>
        <w:t xml:space="preserve">StreamPulse</w:t>
      </w:r>
    </w:p>
    <w:p>
      <w:pPr>
        <w:spacing w:after="60" w:before="0"/>
      </w:pPr>
      <w:r>
        <w:rPr>
          <w:color w:val="4A4F58"/>
          <w:sz w:val="27"/>
          <w:szCs w:val="27"/>
        </w:rPr>
        <w:t xml:space="preserve">Répartition des tâches</w:t>
      </w:r>
    </w:p>
    <w:p>
      <w:pPr>
        <w:spacing w:after="60" w:before="0"/>
      </w:pPr>
      <w:r>
        <w:rPr>
          <w:color w:val="4A4F58"/>
          <w:sz w:val="27"/>
          <w:szCs w:val="27"/>
        </w:rPr>
        <w:t xml:space="preserve">Qui a fait quoi — par phase et par module</w:t>
      </w:r>
    </w:p>
    <w:tbl>
      <w:tblPr>
        <w:tblW w:type="dxa" w:w="9751"/>
        <w:tblBorders>
          <w:top w:val="single" w:color="auto" w:sz="4"/>
          <w:left w:val="single" w:color="auto" w:sz="4"/>
          <w:bottom w:val="single" w:color="auto" w:sz="4"/>
          <w:right w:val="single" w:color="auto" w:sz="4"/>
          <w:insideH w:val="single" w:color="auto" w:sz="4"/>
          <w:insideV w:val="single" w:color="auto" w:sz="4"/>
        </w:tblBorders>
      </w:tblPr>
      <w:tblGrid>
        <w:gridCol w:w="2041"/>
        <w:gridCol w:w="7710"/>
      </w:tblGrid>
      <w:tr>
        <w:tc>
          <w:tcPr>
            <w:tcW w:type="dxa" w:w="2041"/>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Équipe</w:t>
            </w:r>
          </w:p>
        </w:tc>
        <w:tc>
          <w:tcPr>
            <w:tcW w:type="dxa" w:w="7710"/>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Youri · Tim · Alexis</w:t>
            </w:r>
          </w:p>
        </w:tc>
      </w:tr>
      <w:tr>
        <w:tc>
          <w:tcPr>
            <w:tcW w:type="dxa" w:w="2041"/>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Période analysée</w:t>
            </w:r>
          </w:p>
        </w:tc>
        <w:tc>
          <w:tcPr>
            <w:tcW w:type="dxa" w:w="7710"/>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10 avril 2026 — 19 août 2026</w:t>
            </w:r>
          </w:p>
        </w:tc>
      </w:tr>
      <w:tr>
        <w:tc>
          <w:tcPr>
            <w:tcW w:type="dxa" w:w="2041"/>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Base factuelle</w:t>
            </w:r>
          </w:p>
        </w:tc>
        <w:tc>
          <w:tcPr>
            <w:tcW w:type="dxa" w:w="7710"/>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187 commits hors fusion, toutes branches confondues</w:t>
            </w:r>
          </w:p>
        </w:tc>
      </w:tr>
      <w:tr>
        <w:tc>
          <w:tcPr>
            <w:tcW w:type="dxa" w:w="2041"/>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Méthode</w:t>
            </w:r>
          </w:p>
        </w:tc>
        <w:tc>
          <w:tcPr>
            <w:tcW w:type="dxa" w:w="7710"/>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Dérivée automatiquement de l’historique Git du dépôt</w:t>
            </w:r>
          </w:p>
        </w:tc>
      </w:tr>
      <w:tr>
        <w:tc>
          <w:tcPr>
            <w:tcW w:type="dxa" w:w="2041"/>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Projet</w:t>
            </w:r>
          </w:p>
        </w:tc>
        <w:tc>
          <w:tcPr>
            <w:tcW w:type="dxa" w:w="7710"/>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Projet Semestriel 5A Tech Lead — S2</w:t>
            </w:r>
          </w:p>
        </w:tc>
      </w:tr>
      <w:tr>
        <w:tc>
          <w:tcPr>
            <w:tcW w:type="dxa" w:w="2041"/>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Certification</w:t>
            </w:r>
          </w:p>
        </w:tc>
        <w:tc>
          <w:tcPr>
            <w:tcW w:type="dxa" w:w="7710"/>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RNCP 38822 — Bloc 3</w:t>
            </w:r>
          </w:p>
        </w:tc>
      </w:tr>
    </w:tbl>
    <w:p>
      <w:pPr>
        <w:spacing w:after="140" w:before="0"/>
      </w:pPr>
    </w:p>
    <w:p>
      <w:pPr>
        <w:pBdr>
          <w:left w:val="single" w:color="5B2AB5" w:sz="18" w:space="10"/>
        </w:pBdr>
        <w:shd w:fill="EFEBFA" w:color="auto" w:val="clear"/>
        <w:spacing w:after="160" w:before="160"/>
      </w:pPr>
      <w:r>
        <w:rPr>
          <w:color w:val="111318"/>
          <w:sz w:val="18"/>
          <w:szCs w:val="18"/>
        </w:rPr>
        <w:t xml:space="preserve">Ce document est produit à partir de l’historique Git, non d’une déclaration. Chaque chiffre est reproductible sur le dépôt. Les écarts entre membres sont rapportés tels quels, y compris lorsqu’ils sont défavorables : un document de répartition qui lisse la réalité ne résiste pas à la vérification.</w:t>
      </w:r>
    </w:p>
    <w:p>
      <w:r>
        <w:br w:type="page"/>
      </w:r>
    </w:p>
    <w:p>
      <w:pPr>
        <w:pStyle w:val="Heading1"/>
        <w:spacing w:after="120" w:before="320"/>
      </w:pPr>
      <w:r>
        <w:rPr>
          <w:b/>
          <w:bCs/>
          <w:color w:val="111318"/>
          <w:sz w:val="30"/>
          <w:szCs w:val="30"/>
        </w:rPr>
        <w:t xml:space="preserve">1. Objet et méthode</w:t>
      </w:r>
    </w:p>
    <w:p>
      <w:pPr>
        <w:spacing w:after="120" w:before="0" w:line="276"/>
        <w:jc w:val="both"/>
      </w:pPr>
      <w:r>
        <w:rPr>
          <w:color w:val="111318"/>
          <w:sz w:val="20"/>
          <w:szCs w:val="20"/>
        </w:rPr>
        <w:t xml:space="preserve">Ce document répond à l’exigence de traçabilité des contributions individuelles. Il établit, pour chacun des trois membres, ce qui a été réalisé, sur quels modules et à quelle période.</w:t>
      </w:r>
    </w:p>
    <w:p>
      <w:pPr>
        <w:pStyle w:val="Heading2"/>
        <w:spacing w:after="120" w:before="220"/>
      </w:pPr>
      <w:r>
        <w:rPr>
          <w:b/>
          <w:bCs/>
          <w:color w:val="5B2AB5"/>
          <w:sz w:val="24"/>
          <w:szCs w:val="24"/>
        </w:rPr>
        <w:t xml:space="preserve">1.1 Source des données</w:t>
      </w:r>
    </w:p>
    <w:p>
      <w:pPr>
        <w:pStyle w:val="ListParagraph"/>
        <w:numPr>
          <w:ilvl w:val="0"/>
          <w:numId w:val="2"/>
        </w:numPr>
        <w:spacing w:after="60" w:before="0" w:line="276"/>
      </w:pPr>
      <w:r>
        <w:rPr>
          <w:color w:val="111318"/>
          <w:sz w:val="20"/>
          <w:szCs w:val="20"/>
        </w:rPr>
        <w:t xml:space="preserve">L’intégralité des commits du dépôt, toutes branches confondues, hors commits de fusion (ces derniers ne portent aucune modification propre).</w:t>
      </w:r>
    </w:p>
    <w:p>
      <w:pPr>
        <w:pStyle w:val="ListParagraph"/>
        <w:numPr>
          <w:ilvl w:val="0"/>
          <w:numId w:val="2"/>
        </w:numPr>
        <w:spacing w:after="60" w:before="0" w:line="276"/>
      </w:pPr>
      <w:r>
        <w:rPr>
          <w:color w:val="111318"/>
          <w:sz w:val="20"/>
          <w:szCs w:val="20"/>
        </w:rPr>
        <w:t xml:space="preserve">Chaque commit est rattaché à son auteur, puis à l’ensemble des modules touchés par les fichiers qu’il modifie.</w:t>
      </w:r>
    </w:p>
    <w:p>
      <w:pPr>
        <w:pStyle w:val="ListParagraph"/>
        <w:numPr>
          <w:ilvl w:val="0"/>
          <w:numId w:val="2"/>
        </w:numPr>
        <w:spacing w:after="60" w:before="0" w:line="276"/>
      </w:pPr>
      <w:r>
        <w:rPr>
          <w:color w:val="111318"/>
          <w:sz w:val="20"/>
          <w:szCs w:val="20"/>
        </w:rPr>
        <w:t xml:space="preserve">Les alias sont regroupés : </w:t>
      </w:r>
      <w:r>
        <w:rPr>
          <w:b/>
          <w:bCs/>
          <w:color w:val="111318"/>
          <w:sz w:val="20"/>
          <w:szCs w:val="20"/>
        </w:rPr>
        <w:t xml:space="preserve">Youri</w:t>
      </w:r>
      <w:r>
        <w:rPr>
          <w:color w:val="111318"/>
          <w:sz w:val="20"/>
          <w:szCs w:val="20"/>
        </w:rPr>
        <w:t xml:space="preserve"> = </w:t>
      </w:r>
      <w:r>
        <w:rPr>
          <w:i/>
          <w:iCs/>
          <w:color w:val="111318"/>
          <w:sz w:val="20"/>
          <w:szCs w:val="20"/>
        </w:rPr>
        <w:t xml:space="preserve">youri</w:t>
      </w:r>
      <w:r>
        <w:rPr>
          <w:color w:val="111318"/>
          <w:sz w:val="20"/>
          <w:szCs w:val="20"/>
        </w:rPr>
        <w:t xml:space="preserve"> et </w:t>
      </w:r>
      <w:r>
        <w:rPr>
          <w:i/>
          <w:iCs/>
          <w:color w:val="111318"/>
          <w:sz w:val="20"/>
          <w:szCs w:val="20"/>
        </w:rPr>
        <w:t xml:space="preserve">Youri2310</w:t>
      </w:r>
      <w:r>
        <w:rPr>
          <w:color w:val="111318"/>
          <w:sz w:val="20"/>
          <w:szCs w:val="20"/>
        </w:rPr>
        <w:t xml:space="preserve"> ; </w:t>
      </w:r>
      <w:r>
        <w:rPr>
          <w:b/>
          <w:bCs/>
          <w:color w:val="111318"/>
          <w:sz w:val="20"/>
          <w:szCs w:val="20"/>
        </w:rPr>
        <w:t xml:space="preserve">Tim</w:t>
      </w:r>
      <w:r>
        <w:rPr>
          <w:color w:val="111318"/>
          <w:sz w:val="20"/>
          <w:szCs w:val="20"/>
        </w:rPr>
        <w:t xml:space="preserve"> = </w:t>
      </w:r>
      <w:r>
        <w:rPr>
          <w:i/>
          <w:iCs/>
          <w:color w:val="111318"/>
          <w:sz w:val="20"/>
          <w:szCs w:val="20"/>
        </w:rPr>
        <w:t xml:space="preserve">TimosLeBoss</w:t>
      </w:r>
      <w:r>
        <w:rPr>
          <w:color w:val="111318"/>
          <w:sz w:val="20"/>
          <w:szCs w:val="20"/>
        </w:rPr>
        <w:t xml:space="preserve"> et le compte d’organisation </w:t>
      </w:r>
      <w:r>
        <w:rPr>
          <w:i/>
          <w:iCs/>
          <w:color w:val="111318"/>
          <w:sz w:val="20"/>
          <w:szCs w:val="20"/>
        </w:rPr>
        <w:t xml:space="preserve">Ghost-15</w:t>
      </w:r>
      <w:r>
        <w:rPr>
          <w:color w:val="111318"/>
          <w:sz w:val="20"/>
          <w:szCs w:val="20"/>
        </w:rPr>
        <w:t xml:space="preserve"> ; </w:t>
      </w:r>
      <w:r>
        <w:rPr>
          <w:b/>
          <w:bCs/>
          <w:color w:val="111318"/>
          <w:sz w:val="20"/>
          <w:szCs w:val="20"/>
        </w:rPr>
        <w:t xml:space="preserve">Alexis</w:t>
      </w:r>
      <w:r>
        <w:rPr>
          <w:color w:val="111318"/>
          <w:sz w:val="20"/>
          <w:szCs w:val="20"/>
        </w:rPr>
        <w:t xml:space="preserve"> = </w:t>
      </w:r>
      <w:r>
        <w:rPr>
          <w:i/>
          <w:iCs/>
          <w:color w:val="111318"/>
          <w:sz w:val="20"/>
          <w:szCs w:val="20"/>
        </w:rPr>
        <w:t xml:space="preserve">Alexmz1</w:t>
      </w:r>
      <w:r>
        <w:rPr>
          <w:color w:val="111318"/>
          <w:sz w:val="20"/>
          <w:szCs w:val="20"/>
        </w:rPr>
        <w:t xml:space="preserve">.</w:t>
      </w:r>
    </w:p>
    <w:p>
      <w:pPr>
        <w:pStyle w:val="Heading2"/>
        <w:spacing w:after="120" w:before="220"/>
      </w:pPr>
      <w:r>
        <w:rPr>
          <w:b/>
          <w:bCs/>
          <w:color w:val="5B2AB5"/>
          <w:sz w:val="24"/>
          <w:szCs w:val="24"/>
        </w:rPr>
        <w:t xml:space="preserve">1.2 Périmètre temporel</w:t>
      </w:r>
    </w:p>
    <w:p>
      <w:pPr>
        <w:spacing w:after="120" w:before="0" w:line="276"/>
        <w:jc w:val="both"/>
      </w:pPr>
      <w:r>
        <w:rPr>
          <w:color w:val="111318"/>
          <w:sz w:val="20"/>
          <w:szCs w:val="20"/>
        </w:rPr>
        <w:t xml:space="preserve">L’analyse porte sur la </w:t>
      </w:r>
      <w:r>
        <w:rPr>
          <w:b/>
          <w:bCs/>
          <w:color w:val="111318"/>
          <w:sz w:val="20"/>
          <w:szCs w:val="20"/>
        </w:rPr>
        <w:t xml:space="preserve">période collaborative</w:t>
      </w:r>
      <w:r>
        <w:rPr>
          <w:color w:val="111318"/>
          <w:sz w:val="20"/>
          <w:szCs w:val="20"/>
        </w:rPr>
        <w:t xml:space="preserve">, du 10 avril au 19 août 2026, pendant laquelle les trois membres ont travaillé conjointement. Une phase de finalisation postérieure, menée sur une branche dédiée le 23 août, est traitée séparément en section 6 : la fondre dans les totaux fausserait la lecture de la répartition entre membres.</w:t>
      </w:r>
    </w:p>
    <w:p>
      <w:pPr>
        <w:pStyle w:val="Heading2"/>
        <w:spacing w:after="120" w:before="220"/>
      </w:pPr>
      <w:r>
        <w:rPr>
          <w:b/>
          <w:bCs/>
          <w:color w:val="5B2AB5"/>
          <w:sz w:val="24"/>
          <w:szCs w:val="24"/>
        </w:rPr>
        <w:t xml:space="preserve">1.3 Unité de mesure</w:t>
      </w:r>
    </w:p>
    <w:p>
      <w:pPr>
        <w:spacing w:after="120" w:before="0" w:line="276"/>
        <w:jc w:val="both"/>
      </w:pPr>
      <w:r>
        <w:rPr>
          <w:color w:val="111318"/>
          <w:sz w:val="20"/>
          <w:szCs w:val="20"/>
        </w:rPr>
        <w:t xml:space="preserve">L’unité retenue est le </w:t>
      </w:r>
      <w:r>
        <w:rPr>
          <w:b/>
          <w:bCs/>
          <w:color w:val="111318"/>
          <w:sz w:val="20"/>
          <w:szCs w:val="20"/>
        </w:rPr>
        <w:t xml:space="preserve">nombre de commits touchant un module</w:t>
      </w:r>
      <w:r>
        <w:rPr>
          <w:color w:val="111318"/>
          <w:sz w:val="20"/>
          <w:szCs w:val="20"/>
        </w:rPr>
        <w:t xml:space="preserve">, et non le nombre de lignes. Le volume de lignes est trompeur : un fichier généré, un import de dépendances ou un reformatage pèsent des centaines de lignes sans effort correspondant. Le commit, lui, matérialise une unité de travail décidée par son auteur.</w:t>
      </w:r>
    </w:p>
    <w:p>
      <w:pPr>
        <w:pStyle w:val="Heading1"/>
        <w:spacing w:after="120" w:before="320"/>
      </w:pPr>
      <w:r>
        <w:rPr>
          <w:b/>
          <w:bCs/>
          <w:color w:val="111318"/>
          <w:sz w:val="30"/>
          <w:szCs w:val="30"/>
        </w:rPr>
        <w:t xml:space="preserve">2. Synthèse</w:t>
      </w:r>
    </w:p>
    <w:tbl>
      <w:tblPr>
        <w:tblW w:type="dxa" w:w="9751"/>
        <w:tblBorders>
          <w:top w:val="single" w:color="auto" w:sz="4"/>
          <w:left w:val="single" w:color="auto" w:sz="4"/>
          <w:bottom w:val="single" w:color="auto" w:sz="4"/>
          <w:right w:val="single" w:color="auto" w:sz="4"/>
          <w:insideH w:val="single" w:color="auto" w:sz="4"/>
          <w:insideV w:val="single" w:color="auto" w:sz="4"/>
        </w:tblBorders>
      </w:tblPr>
      <w:tblGrid>
        <w:gridCol w:w="1474"/>
        <w:gridCol w:w="1134"/>
        <w:gridCol w:w="1020"/>
        <w:gridCol w:w="1814"/>
        <w:gridCol w:w="4309"/>
      </w:tblGrid>
      <w:tr>
        <w:tc>
          <w:tcPr>
            <w:tcW w:type="dxa" w:w="1474"/>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Membre</w:t>
            </w:r>
          </w:p>
        </w:tc>
        <w:tc>
          <w:tcPr>
            <w:tcW w:type="dxa" w:w="1134"/>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Commits</w:t>
            </w:r>
          </w:p>
        </w:tc>
        <w:tc>
          <w:tcPr>
            <w:tcW w:type="dxa" w:w="1020"/>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Part</w:t>
            </w:r>
          </w:p>
        </w:tc>
        <w:tc>
          <w:tcPr>
            <w:tcW w:type="dxa" w:w="1814"/>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Modules couverts</w:t>
            </w:r>
          </w:p>
        </w:tc>
        <w:tc>
          <w:tcPr>
            <w:tcW w:type="dxa" w:w="4309"/>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Période d’activité</w:t>
            </w:r>
          </w:p>
        </w:tc>
      </w:tr>
      <w:tr>
        <w:tc>
          <w:tcPr>
            <w:tcW w:type="dxa" w:w="1474"/>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Youri</w:t>
            </w:r>
          </w:p>
        </w:tc>
        <w:tc>
          <w:tcPr>
            <w:tcW w:type="dxa" w:w="1134"/>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88</w:t>
            </w:r>
          </w:p>
        </w:tc>
        <w:tc>
          <w:tcPr>
            <w:tcW w:type="dxa" w:w="1020"/>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47 %</w:t>
            </w:r>
          </w:p>
        </w:tc>
        <w:tc>
          <w:tcPr>
            <w:tcW w:type="dxa" w:w="1814"/>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20 / 21</w:t>
            </w:r>
          </w:p>
        </w:tc>
        <w:tc>
          <w:tcPr>
            <w:tcW w:type="dxa" w:w="4309"/>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2026-04-10 → 2026-08-19</w:t>
            </w:r>
          </w:p>
        </w:tc>
      </w:tr>
      <w:tr>
        <w:tc>
          <w:tcPr>
            <w:tcW w:type="dxa" w:w="1474"/>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Tim</w:t>
            </w:r>
          </w:p>
        </w:tc>
        <w:tc>
          <w:tcPr>
            <w:tcW w:type="dxa" w:w="1134"/>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57</w:t>
            </w:r>
          </w:p>
        </w:tc>
        <w:tc>
          <w:tcPr>
            <w:tcW w:type="dxa" w:w="1020"/>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30 %</w:t>
            </w:r>
          </w:p>
        </w:tc>
        <w:tc>
          <w:tcPr>
            <w:tcW w:type="dxa" w:w="1814"/>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21 / 21</w:t>
            </w:r>
          </w:p>
        </w:tc>
        <w:tc>
          <w:tcPr>
            <w:tcW w:type="dxa" w:w="4309"/>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2026-04-18 → 2026-08-17</w:t>
            </w:r>
          </w:p>
        </w:tc>
      </w:tr>
      <w:tr>
        <w:tc>
          <w:tcPr>
            <w:tcW w:type="dxa" w:w="1474"/>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Alexis</w:t>
            </w:r>
          </w:p>
        </w:tc>
        <w:tc>
          <w:tcPr>
            <w:tcW w:type="dxa" w:w="1134"/>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42</w:t>
            </w:r>
          </w:p>
        </w:tc>
        <w:tc>
          <w:tcPr>
            <w:tcW w:type="dxa" w:w="1020"/>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22 %</w:t>
            </w:r>
          </w:p>
        </w:tc>
        <w:tc>
          <w:tcPr>
            <w:tcW w:type="dxa" w:w="1814"/>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14 / 21</w:t>
            </w:r>
          </w:p>
        </w:tc>
        <w:tc>
          <w:tcPr>
            <w:tcW w:type="dxa" w:w="4309"/>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2026-04-28 → 2026-08-11</w:t>
            </w:r>
          </w:p>
        </w:tc>
      </w:tr>
    </w:tbl>
    <w:p>
      <w:pPr>
        <w:spacing w:after="140" w:before="0"/>
      </w:pPr>
    </w:p>
    <w:p>
      <w:pPr>
        <w:spacing w:after="120" w:before="0" w:line="276"/>
        <w:jc w:val="both"/>
      </w:pPr>
      <w:r>
        <w:rPr>
          <w:color w:val="111318"/>
          <w:sz w:val="20"/>
          <w:szCs w:val="20"/>
        </w:rPr>
        <w:t xml:space="preserve">Les trois membres sont présents sur l’ensemble de la période et interviennent chacun à la fois sur le backend Go et sur l’application Flutter. Alexis ressort comme référent Flutter : 30 commits sur Mobile — application Flutter, soit presque deux tiers du module et plus que Youri et Tim réunis. La rotation annoncée est donc effective sur le code applicatif ; elle l’est moins sur les activités d’industrialisation, comme le montre la section 3.</w:t>
      </w:r>
    </w:p>
    <w:p>
      <w:pPr>
        <w:pBdr>
          <w:left w:val="single" w:color="5B2AB5" w:sz="18" w:space="10"/>
        </w:pBdr>
        <w:shd w:fill="EFEBFA" w:color="auto" w:val="clear"/>
        <w:spacing w:after="160" w:before="160"/>
      </w:pPr>
      <w:r>
        <w:rPr>
          <w:b/>
          <w:bCs/>
          <w:color w:val="111318"/>
          <w:sz w:val="18"/>
          <w:szCs w:val="18"/>
        </w:rPr>
        <w:t xml:space="preserve">Lecture des écarts.</w:t>
      </w:r>
      <w:r>
        <w:rPr>
          <w:color w:val="111318"/>
          <w:sz w:val="18"/>
          <w:szCs w:val="18"/>
        </w:rPr>
        <w:t xml:space="preserve"> Un écart de volume ne mesure ni la difficulté ni la valeur du travail. Le Hub audio représente 13 points d’effort au backlog pour une douzaine de commits, quand une campagne de correction de pipeline en produit vingt pour un effort moindre. Les volumes ci-dessus situent l’implication, ils ne la hiérarchisent pas.</w:t>
      </w:r>
    </w:p>
    <w:p>
      <w:r>
        <w:br w:type="page"/>
      </w:r>
    </w:p>
    <w:p>
      <w:pPr>
        <w:pStyle w:val="Heading1"/>
        <w:spacing w:after="120" w:before="320"/>
      </w:pPr>
      <w:r>
        <w:rPr>
          <w:b/>
          <w:bCs/>
          <w:color w:val="111318"/>
          <w:sz w:val="30"/>
          <w:szCs w:val="30"/>
        </w:rPr>
        <w:t xml:space="preserve">3. Répartition par module</w:t>
      </w:r>
    </w:p>
    <w:p>
      <w:pPr>
        <w:spacing w:after="120" w:before="0" w:line="276"/>
        <w:jc w:val="both"/>
      </w:pPr>
      <w:r>
        <w:rPr>
          <w:color w:val="111318"/>
          <w:sz w:val="20"/>
          <w:szCs w:val="20"/>
        </w:rPr>
        <w:t xml:space="preserve">Chaque ligne indique le nombre de commits de chaque membre ayant touché le module, et la part visuelle correspondante. La colonne </w:t>
      </w:r>
      <w:r>
        <w:rPr>
          <w:i/>
          <w:iCs/>
          <w:color w:val="111318"/>
          <w:sz w:val="20"/>
          <w:szCs w:val="20"/>
        </w:rPr>
        <w:t xml:space="preserve">Couv.</w:t>
      </w:r>
      <w:r>
        <w:rPr>
          <w:color w:val="111318"/>
          <w:sz w:val="20"/>
          <w:szCs w:val="20"/>
        </w:rPr>
        <w:t xml:space="preserve"> compte les membres intervenus au moins une fois.</w:t>
      </w:r>
    </w:p>
    <w:tbl>
      <w:tblPr>
        <w:tblW w:type="dxa" w:w="9751"/>
        <w:tblBorders>
          <w:top w:val="single" w:color="auto" w:sz="4"/>
          <w:left w:val="single" w:color="auto" w:sz="4"/>
          <w:bottom w:val="single" w:color="auto" w:sz="4"/>
          <w:right w:val="single" w:color="auto" w:sz="4"/>
          <w:insideH w:val="single" w:color="auto" w:sz="4"/>
          <w:insideV w:val="single" w:color="auto" w:sz="4"/>
        </w:tblBorders>
      </w:tblPr>
      <w:tblGrid>
        <w:gridCol w:w="650"/>
        <w:gridCol w:w="2600"/>
        <w:gridCol w:w="650"/>
        <w:gridCol w:w="2275"/>
        <w:gridCol w:w="650"/>
        <w:gridCol w:w="2926"/>
      </w:tblGrid>
      <w:tr>
        <w:tc>
          <w:tcPr>
            <w:tcW w:type="dxa" w:w="650"/>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
              </w:t>
            </w:r>
          </w:p>
        </w:tc>
        <w:tc>
          <w:tcPr>
            <w:tcW w:type="dxa" w:w="2600"/>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Youri</w:t>
            </w:r>
          </w:p>
        </w:tc>
        <w:tc>
          <w:tcPr>
            <w:tcW w:type="dxa" w:w="650"/>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
              </w:t>
            </w:r>
          </w:p>
        </w:tc>
        <w:tc>
          <w:tcPr>
            <w:tcW w:type="dxa" w:w="2275"/>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Tim</w:t>
            </w:r>
          </w:p>
        </w:tc>
        <w:tc>
          <w:tcPr>
            <w:tcW w:type="dxa" w:w="650"/>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
              </w:t>
            </w:r>
          </w:p>
        </w:tc>
        <w:tc>
          <w:tcPr>
            <w:tcW w:type="dxa" w:w="2926"/>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Alexis</w:t>
            </w:r>
          </w:p>
        </w:tc>
      </w:tr>
    </w:tbl>
    <w:p>
      <w:pPr>
        <w:spacing w:after="140" w:before="0"/>
      </w:pPr>
    </w:p>
    <w:tbl>
      <w:tblPr>
        <w:tblW w:type="dxa" w:w="9751"/>
        <w:tblBorders>
          <w:top w:val="single" w:color="auto" w:sz="4"/>
          <w:left w:val="single" w:color="auto" w:sz="4"/>
          <w:bottom w:val="single" w:color="auto" w:sz="4"/>
          <w:right w:val="single" w:color="auto" w:sz="4"/>
          <w:insideH w:val="single" w:color="auto" w:sz="4"/>
          <w:insideV w:val="single" w:color="auto" w:sz="4"/>
        </w:tblBorders>
      </w:tblPr>
      <w:tblGrid>
        <w:gridCol w:w="3821"/>
        <w:gridCol w:w="857"/>
        <w:gridCol w:w="725"/>
        <w:gridCol w:w="922"/>
        <w:gridCol w:w="2635"/>
        <w:gridCol w:w="791"/>
      </w:tblGrid>
      <w:tr>
        <w:tc>
          <w:tcPr>
            <w:tcW w:type="dxa" w:w="3821"/>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Module</w:t>
            </w:r>
          </w:p>
        </w:tc>
        <w:tc>
          <w:tcPr>
            <w:tcW w:type="dxa" w:w="857"/>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Youri</w:t>
            </w:r>
          </w:p>
        </w:tc>
        <w:tc>
          <w:tcPr>
            <w:tcW w:type="dxa" w:w="725"/>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Tim</w:t>
            </w:r>
          </w:p>
        </w:tc>
        <w:tc>
          <w:tcPr>
            <w:tcW w:type="dxa" w:w="922"/>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Alexis</w:t>
            </w:r>
          </w:p>
        </w:tc>
        <w:tc>
          <w:tcPr>
            <w:tcW w:type="dxa" w:w="2635"/>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Répartition</w:t>
            </w:r>
          </w:p>
        </w:tc>
        <w:tc>
          <w:tcPr>
            <w:tcW w:type="dxa" w:w="791"/>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Couv.</w:t>
            </w:r>
          </w:p>
        </w:tc>
      </w:tr>
      <w:tr>
        <w:tc>
          <w:tcPr>
            <w:tcW w:type="dxa" w:w="3821"/>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Mobile — application Flutter</w:t>
            </w:r>
          </w:p>
        </w:tc>
        <w:tc>
          <w:tcPr>
            <w:tcW w:type="dxa" w:w="857"/>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9</w:t>
            </w:r>
          </w:p>
        </w:tc>
        <w:tc>
          <w:tcPr>
            <w:tcW w:type="dxa" w:w="725"/>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8</w:t>
            </w:r>
          </w:p>
        </w:tc>
        <w:tc>
          <w:tcPr>
            <w:tcW w:type="dxa" w:w="922"/>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30</w:t>
            </w:r>
          </w:p>
        </w:tc>
        <w:tc>
          <w:tcPr>
            <w:tcW w:type="dxa" w:w="2635"/>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
              </w:t>
            </w:r>
          </w:p>
        </w:tc>
        <w:tc>
          <w:tcPr>
            <w:tcW w:type="dxa" w:w="791"/>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3/3</w:t>
            </w:r>
          </w:p>
        </w:tc>
      </w:tr>
      <w:tr>
        <w:tc>
          <w:tcPr>
            <w:tcW w:type="dxa" w:w="3821"/>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Mobile — tests</w:t>
            </w:r>
          </w:p>
        </w:tc>
        <w:tc>
          <w:tcPr>
            <w:tcW w:type="dxa" w:w="857"/>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2</w:t>
            </w:r>
          </w:p>
        </w:tc>
        <w:tc>
          <w:tcPr>
            <w:tcW w:type="dxa" w:w="725"/>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6</w:t>
            </w:r>
          </w:p>
        </w:tc>
        <w:tc>
          <w:tcPr>
            <w:tcW w:type="dxa" w:w="922"/>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3</w:t>
            </w:r>
          </w:p>
        </w:tc>
        <w:tc>
          <w:tcPr>
            <w:tcW w:type="dxa" w:w="2635"/>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
              </w:t>
            </w:r>
          </w:p>
        </w:tc>
        <w:tc>
          <w:tcPr>
            <w:tcW w:type="dxa" w:w="791"/>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3/3</w:t>
            </w:r>
          </w:p>
        </w:tc>
      </w:tr>
      <w:tr>
        <w:tc>
          <w:tcPr>
            <w:tcW w:type="dxa" w:w="3821"/>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Mobile — plateformes &amp; build</w:t>
            </w:r>
          </w:p>
        </w:tc>
        <w:tc>
          <w:tcPr>
            <w:tcW w:type="dxa" w:w="857"/>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6</w:t>
            </w:r>
          </w:p>
        </w:tc>
        <w:tc>
          <w:tcPr>
            <w:tcW w:type="dxa" w:w="725"/>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3</w:t>
            </w:r>
          </w:p>
        </w:tc>
        <w:tc>
          <w:tcPr>
            <w:tcW w:type="dxa" w:w="922"/>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5</w:t>
            </w:r>
          </w:p>
        </w:tc>
        <w:tc>
          <w:tcPr>
            <w:tcW w:type="dxa" w:w="2635"/>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
              </w:t>
            </w:r>
          </w:p>
        </w:tc>
        <w:tc>
          <w:tcPr>
            <w:tcW w:type="dxa" w:w="791"/>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3/3</w:t>
            </w:r>
          </w:p>
        </w:tc>
      </w:tr>
      <w:tr>
        <w:tc>
          <w:tcPr>
            <w:tcW w:type="dxa" w:w="3821"/>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API — handlers HTTP</w:t>
            </w:r>
          </w:p>
        </w:tc>
        <w:tc>
          <w:tcPr>
            <w:tcW w:type="dxa" w:w="857"/>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12</w:t>
            </w:r>
          </w:p>
        </w:tc>
        <w:tc>
          <w:tcPr>
            <w:tcW w:type="dxa" w:w="725"/>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17</w:t>
            </w:r>
          </w:p>
        </w:tc>
        <w:tc>
          <w:tcPr>
            <w:tcW w:type="dxa" w:w="922"/>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6</w:t>
            </w:r>
          </w:p>
        </w:tc>
        <w:tc>
          <w:tcPr>
            <w:tcW w:type="dxa" w:w="2635"/>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
              </w:t>
            </w:r>
          </w:p>
        </w:tc>
        <w:tc>
          <w:tcPr>
            <w:tcW w:type="dxa" w:w="791"/>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3/3</w:t>
            </w:r>
          </w:p>
        </w:tc>
      </w:tr>
      <w:tr>
        <w:tc>
          <w:tcPr>
            <w:tcW w:type="dxa" w:w="3821"/>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API — middlewares</w:t>
            </w:r>
          </w:p>
        </w:tc>
        <w:tc>
          <w:tcPr>
            <w:tcW w:type="dxa" w:w="857"/>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7</w:t>
            </w:r>
          </w:p>
        </w:tc>
        <w:tc>
          <w:tcPr>
            <w:tcW w:type="dxa" w:w="725"/>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6</w:t>
            </w:r>
          </w:p>
        </w:tc>
        <w:tc>
          <w:tcPr>
            <w:tcW w:type="dxa" w:w="922"/>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4</w:t>
            </w:r>
          </w:p>
        </w:tc>
        <w:tc>
          <w:tcPr>
            <w:tcW w:type="dxa" w:w="2635"/>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
              </w:t>
            </w:r>
          </w:p>
        </w:tc>
        <w:tc>
          <w:tcPr>
            <w:tcW w:type="dxa" w:w="791"/>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3/3</w:t>
            </w:r>
          </w:p>
        </w:tc>
      </w:tr>
      <w:tr>
        <w:tc>
          <w:tcPr>
            <w:tcW w:type="dxa" w:w="3821"/>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API — routage</w:t>
            </w:r>
          </w:p>
        </w:tc>
        <w:tc>
          <w:tcPr>
            <w:tcW w:type="dxa" w:w="857"/>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11</w:t>
            </w:r>
          </w:p>
        </w:tc>
        <w:tc>
          <w:tcPr>
            <w:tcW w:type="dxa" w:w="725"/>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8</w:t>
            </w:r>
          </w:p>
        </w:tc>
        <w:tc>
          <w:tcPr>
            <w:tcW w:type="dxa" w:w="922"/>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2</w:t>
            </w:r>
          </w:p>
        </w:tc>
        <w:tc>
          <w:tcPr>
            <w:tcW w:type="dxa" w:w="2635"/>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
              </w:t>
            </w:r>
          </w:p>
        </w:tc>
        <w:tc>
          <w:tcPr>
            <w:tcW w:type="dxa" w:w="791"/>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3/3</w:t>
            </w:r>
          </w:p>
        </w:tc>
      </w:tr>
      <w:tr>
        <w:tc>
          <w:tcPr>
            <w:tcW w:type="dxa" w:w="3821"/>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Métier — use cases</w:t>
            </w:r>
          </w:p>
        </w:tc>
        <w:tc>
          <w:tcPr>
            <w:tcW w:type="dxa" w:w="857"/>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14</w:t>
            </w:r>
          </w:p>
        </w:tc>
        <w:tc>
          <w:tcPr>
            <w:tcW w:type="dxa" w:w="725"/>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7</w:t>
            </w:r>
          </w:p>
        </w:tc>
        <w:tc>
          <w:tcPr>
            <w:tcW w:type="dxa" w:w="922"/>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3</w:t>
            </w:r>
          </w:p>
        </w:tc>
        <w:tc>
          <w:tcPr>
            <w:tcW w:type="dxa" w:w="2635"/>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
              </w:t>
            </w:r>
          </w:p>
        </w:tc>
        <w:tc>
          <w:tcPr>
            <w:tcW w:type="dxa" w:w="791"/>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3/3</w:t>
            </w:r>
          </w:p>
        </w:tc>
      </w:tr>
      <w:tr>
        <w:tc>
          <w:tcPr>
            <w:tcW w:type="dxa" w:w="3821"/>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Domaine — entités</w:t>
            </w:r>
          </w:p>
        </w:tc>
        <w:tc>
          <w:tcPr>
            <w:tcW w:type="dxa" w:w="857"/>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8</w:t>
            </w:r>
          </w:p>
        </w:tc>
        <w:tc>
          <w:tcPr>
            <w:tcW w:type="dxa" w:w="725"/>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3</w:t>
            </w:r>
          </w:p>
        </w:tc>
        <w:tc>
          <w:tcPr>
            <w:tcW w:type="dxa" w:w="922"/>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2</w:t>
            </w:r>
          </w:p>
        </w:tc>
        <w:tc>
          <w:tcPr>
            <w:tcW w:type="dxa" w:w="2635"/>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
              </w:t>
            </w:r>
          </w:p>
        </w:tc>
        <w:tc>
          <w:tcPr>
            <w:tcW w:type="dxa" w:w="791"/>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3/3</w:t>
            </w:r>
          </w:p>
        </w:tc>
      </w:tr>
      <w:tr>
        <w:tc>
          <w:tcPr>
            <w:tcW w:type="dxa" w:w="3821"/>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Contrats — repositories</w:t>
            </w:r>
          </w:p>
        </w:tc>
        <w:tc>
          <w:tcPr>
            <w:tcW w:type="dxa" w:w="857"/>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6</w:t>
            </w:r>
          </w:p>
        </w:tc>
        <w:tc>
          <w:tcPr>
            <w:tcW w:type="dxa" w:w="725"/>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2</w:t>
            </w:r>
          </w:p>
        </w:tc>
        <w:tc>
          <w:tcPr>
            <w:tcW w:type="dxa" w:w="922"/>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1</w:t>
            </w:r>
          </w:p>
        </w:tc>
        <w:tc>
          <w:tcPr>
            <w:tcW w:type="dxa" w:w="2635"/>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
              </w:t>
            </w:r>
          </w:p>
        </w:tc>
        <w:tc>
          <w:tcPr>
            <w:tcW w:type="dxa" w:w="791"/>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3/3</w:t>
            </w:r>
          </w:p>
        </w:tc>
      </w:tr>
      <w:tr>
        <w:tc>
          <w:tcPr>
            <w:tcW w:type="dxa" w:w="3821"/>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Persistance — Supabase / pgx</w:t>
            </w:r>
          </w:p>
        </w:tc>
        <w:tc>
          <w:tcPr>
            <w:tcW w:type="dxa" w:w="857"/>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15</w:t>
            </w:r>
          </w:p>
        </w:tc>
        <w:tc>
          <w:tcPr>
            <w:tcW w:type="dxa" w:w="725"/>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5</w:t>
            </w:r>
          </w:p>
        </w:tc>
        <w:tc>
          <w:tcPr>
            <w:tcW w:type="dxa" w:w="922"/>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3</w:t>
            </w:r>
          </w:p>
        </w:tc>
        <w:tc>
          <w:tcPr>
            <w:tcW w:type="dxa" w:w="2635"/>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
              </w:t>
            </w:r>
          </w:p>
        </w:tc>
        <w:tc>
          <w:tcPr>
            <w:tcW w:type="dxa" w:w="791"/>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3/3</w:t>
            </w:r>
          </w:p>
        </w:tc>
      </w:tr>
      <w:tr>
        <w:tc>
          <w:tcPr>
            <w:tcW w:type="dxa" w:w="3821"/>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Streaming — Hub audio</w:t>
            </w:r>
          </w:p>
        </w:tc>
        <w:tc>
          <w:tcPr>
            <w:tcW w:type="dxa" w:w="857"/>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4</w:t>
            </w:r>
          </w:p>
        </w:tc>
        <w:tc>
          <w:tcPr>
            <w:tcW w:type="dxa" w:w="725"/>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7</w:t>
            </w:r>
          </w:p>
        </w:tc>
        <w:tc>
          <w:tcPr>
            <w:tcW w:type="dxa" w:w="922"/>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1</w:t>
            </w:r>
          </w:p>
        </w:tc>
        <w:tc>
          <w:tcPr>
            <w:tcW w:type="dxa" w:w="2635"/>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
              </w:t>
            </w:r>
          </w:p>
        </w:tc>
        <w:tc>
          <w:tcPr>
            <w:tcW w:type="dxa" w:w="791"/>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3/3</w:t>
            </w:r>
          </w:p>
        </w:tc>
      </w:tr>
      <w:tr>
        <w:tc>
          <w:tcPr>
            <w:tcW w:type="dxa" w:w="3821"/>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Observabilité — instrumentation</w:t>
            </w:r>
          </w:p>
        </w:tc>
        <w:tc>
          <w:tcPr>
            <w:tcW w:type="dxa" w:w="857"/>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5</w:t>
            </w:r>
          </w:p>
        </w:tc>
        <w:tc>
          <w:tcPr>
            <w:tcW w:type="dxa" w:w="725"/>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7</w:t>
            </w:r>
          </w:p>
        </w:tc>
        <w:tc>
          <w:tcPr>
            <w:tcW w:type="dxa" w:w="922"/>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0</w:t>
            </w:r>
          </w:p>
        </w:tc>
        <w:tc>
          <w:tcPr>
            <w:tcW w:type="dxa" w:w="2635"/>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
              </w:t>
            </w:r>
          </w:p>
        </w:tc>
        <w:tc>
          <w:tcPr>
            <w:tcW w:type="dxa" w:w="791"/>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2/3</w:t>
            </w:r>
          </w:p>
        </w:tc>
      </w:tr>
      <w:tr>
        <w:tc>
          <w:tcPr>
            <w:tcW w:type="dxa" w:w="3821"/>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Observabilité — dashboards &amp; alertes</w:t>
            </w:r>
          </w:p>
        </w:tc>
        <w:tc>
          <w:tcPr>
            <w:tcW w:type="dxa" w:w="857"/>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5</w:t>
            </w:r>
          </w:p>
        </w:tc>
        <w:tc>
          <w:tcPr>
            <w:tcW w:type="dxa" w:w="725"/>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8</w:t>
            </w:r>
          </w:p>
        </w:tc>
        <w:tc>
          <w:tcPr>
            <w:tcW w:type="dxa" w:w="922"/>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0</w:t>
            </w:r>
          </w:p>
        </w:tc>
        <w:tc>
          <w:tcPr>
            <w:tcW w:type="dxa" w:w="2635"/>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
              </w:t>
            </w:r>
          </w:p>
        </w:tc>
        <w:tc>
          <w:tcPr>
            <w:tcW w:type="dxa" w:w="791"/>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2/3</w:t>
            </w:r>
          </w:p>
        </w:tc>
      </w:tr>
      <w:tr>
        <w:tc>
          <w:tcPr>
            <w:tcW w:type="dxa" w:w="3821"/>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Configuration 12-Factor</w:t>
            </w:r>
          </w:p>
        </w:tc>
        <w:tc>
          <w:tcPr>
            <w:tcW w:type="dxa" w:w="857"/>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6</w:t>
            </w:r>
          </w:p>
        </w:tc>
        <w:tc>
          <w:tcPr>
            <w:tcW w:type="dxa" w:w="725"/>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8</w:t>
            </w:r>
          </w:p>
        </w:tc>
        <w:tc>
          <w:tcPr>
            <w:tcW w:type="dxa" w:w="922"/>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0</w:t>
            </w:r>
          </w:p>
        </w:tc>
        <w:tc>
          <w:tcPr>
            <w:tcW w:type="dxa" w:w="2635"/>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
              </w:t>
            </w:r>
          </w:p>
        </w:tc>
        <w:tc>
          <w:tcPr>
            <w:tcW w:type="dxa" w:w="791"/>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2/3</w:t>
            </w:r>
          </w:p>
        </w:tc>
      </w:tr>
      <w:tr>
        <w:tc>
          <w:tcPr>
            <w:tcW w:type="dxa" w:w="3821"/>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Composition / démarrage</w:t>
            </w:r>
          </w:p>
        </w:tc>
        <w:tc>
          <w:tcPr>
            <w:tcW w:type="dxa" w:w="857"/>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8</w:t>
            </w:r>
          </w:p>
        </w:tc>
        <w:tc>
          <w:tcPr>
            <w:tcW w:type="dxa" w:w="725"/>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6</w:t>
            </w:r>
          </w:p>
        </w:tc>
        <w:tc>
          <w:tcPr>
            <w:tcW w:type="dxa" w:w="922"/>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2</w:t>
            </w:r>
          </w:p>
        </w:tc>
        <w:tc>
          <w:tcPr>
            <w:tcW w:type="dxa" w:w="2635"/>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
              </w:t>
            </w:r>
          </w:p>
        </w:tc>
        <w:tc>
          <w:tcPr>
            <w:tcW w:type="dxa" w:w="791"/>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3/3</w:t>
            </w:r>
          </w:p>
        </w:tc>
      </w:tr>
      <w:tr>
        <w:tc>
          <w:tcPr>
            <w:tcW w:type="dxa" w:w="3821"/>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Base de données — migrations</w:t>
            </w:r>
          </w:p>
        </w:tc>
        <w:tc>
          <w:tcPr>
            <w:tcW w:type="dxa" w:w="857"/>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6</w:t>
            </w:r>
          </w:p>
        </w:tc>
        <w:tc>
          <w:tcPr>
            <w:tcW w:type="dxa" w:w="725"/>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3</w:t>
            </w:r>
          </w:p>
        </w:tc>
        <w:tc>
          <w:tcPr>
            <w:tcW w:type="dxa" w:w="922"/>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0</w:t>
            </w:r>
          </w:p>
        </w:tc>
        <w:tc>
          <w:tcPr>
            <w:tcW w:type="dxa" w:w="2635"/>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
              </w:t>
            </w:r>
          </w:p>
        </w:tc>
        <w:tc>
          <w:tcPr>
            <w:tcW w:type="dxa" w:w="791"/>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2/3</w:t>
            </w:r>
          </w:p>
        </w:tc>
      </w:tr>
      <w:tr>
        <w:tc>
          <w:tcPr>
            <w:tcW w:type="dxa" w:w="3821"/>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Tests Go</w:t>
            </w:r>
          </w:p>
        </w:tc>
        <w:tc>
          <w:tcPr>
            <w:tcW w:type="dxa" w:w="857"/>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39</w:t>
            </w:r>
          </w:p>
        </w:tc>
        <w:tc>
          <w:tcPr>
            <w:tcW w:type="dxa" w:w="725"/>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18</w:t>
            </w:r>
          </w:p>
        </w:tc>
        <w:tc>
          <w:tcPr>
            <w:tcW w:type="dxa" w:w="922"/>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8</w:t>
            </w:r>
          </w:p>
        </w:tc>
        <w:tc>
          <w:tcPr>
            <w:tcW w:type="dxa" w:w="2635"/>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
              </w:t>
            </w:r>
          </w:p>
        </w:tc>
        <w:tc>
          <w:tcPr>
            <w:tcW w:type="dxa" w:w="791"/>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3/3</w:t>
            </w:r>
          </w:p>
        </w:tc>
      </w:tr>
      <w:tr>
        <w:tc>
          <w:tcPr>
            <w:tcW w:type="dxa" w:w="3821"/>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CI/CD — pipelines</w:t>
            </w:r>
          </w:p>
        </w:tc>
        <w:tc>
          <w:tcPr>
            <w:tcW w:type="dxa" w:w="857"/>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6</w:t>
            </w:r>
          </w:p>
        </w:tc>
        <w:tc>
          <w:tcPr>
            <w:tcW w:type="dxa" w:w="725"/>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20</w:t>
            </w:r>
          </w:p>
        </w:tc>
        <w:tc>
          <w:tcPr>
            <w:tcW w:type="dxa" w:w="922"/>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0</w:t>
            </w:r>
          </w:p>
        </w:tc>
        <w:tc>
          <w:tcPr>
            <w:tcW w:type="dxa" w:w="2635"/>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
              </w:t>
            </w:r>
          </w:p>
        </w:tc>
        <w:tc>
          <w:tcPr>
            <w:tcW w:type="dxa" w:w="791"/>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2/3</w:t>
            </w:r>
          </w:p>
        </w:tc>
      </w:tr>
      <w:tr>
        <w:tc>
          <w:tcPr>
            <w:tcW w:type="dxa" w:w="3821"/>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Conteneurisation &amp; outillage</w:t>
            </w:r>
          </w:p>
        </w:tc>
        <w:tc>
          <w:tcPr>
            <w:tcW w:type="dxa" w:w="857"/>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8</w:t>
            </w:r>
          </w:p>
        </w:tc>
        <w:tc>
          <w:tcPr>
            <w:tcW w:type="dxa" w:w="725"/>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12</w:t>
            </w:r>
          </w:p>
        </w:tc>
        <w:tc>
          <w:tcPr>
            <w:tcW w:type="dxa" w:w="922"/>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1</w:t>
            </w:r>
          </w:p>
        </w:tc>
        <w:tc>
          <w:tcPr>
            <w:tcW w:type="dxa" w:w="2635"/>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
              </w:t>
            </w:r>
          </w:p>
        </w:tc>
        <w:tc>
          <w:tcPr>
            <w:tcW w:type="dxa" w:w="791"/>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3/3</w:t>
            </w:r>
          </w:p>
        </w:tc>
      </w:tr>
      <w:tr>
        <w:tc>
          <w:tcPr>
            <w:tcW w:type="dxa" w:w="3821"/>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Charge, profilage, scripts</w:t>
            </w:r>
          </w:p>
        </w:tc>
        <w:tc>
          <w:tcPr>
            <w:tcW w:type="dxa" w:w="857"/>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0</w:t>
            </w:r>
          </w:p>
        </w:tc>
        <w:tc>
          <w:tcPr>
            <w:tcW w:type="dxa" w:w="725"/>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6</w:t>
            </w:r>
          </w:p>
        </w:tc>
        <w:tc>
          <w:tcPr>
            <w:tcW w:type="dxa" w:w="922"/>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0</w:t>
            </w:r>
          </w:p>
        </w:tc>
        <w:tc>
          <w:tcPr>
            <w:tcW w:type="dxa" w:w="2635"/>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
              </w:t>
            </w:r>
          </w:p>
        </w:tc>
        <w:tc>
          <w:tcPr>
            <w:tcW w:type="dxa" w:w="791"/>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1/3</w:t>
            </w:r>
          </w:p>
        </w:tc>
      </w:tr>
      <w:tr>
        <w:tc>
          <w:tcPr>
            <w:tcW w:type="dxa" w:w="3821"/>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Documentation &amp; ADR</w:t>
            </w:r>
          </w:p>
        </w:tc>
        <w:tc>
          <w:tcPr>
            <w:tcW w:type="dxa" w:w="857"/>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8</w:t>
            </w:r>
          </w:p>
        </w:tc>
        <w:tc>
          <w:tcPr>
            <w:tcW w:type="dxa" w:w="725"/>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17</w:t>
            </w:r>
          </w:p>
        </w:tc>
        <w:tc>
          <w:tcPr>
            <w:tcW w:type="dxa" w:w="922"/>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0</w:t>
            </w:r>
          </w:p>
        </w:tc>
        <w:tc>
          <w:tcPr>
            <w:tcW w:type="dxa" w:w="2635"/>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
              </w:t>
            </w:r>
          </w:p>
        </w:tc>
        <w:tc>
          <w:tcPr>
            <w:tcW w:type="dxa" w:w="791"/>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2/3</w:t>
            </w:r>
          </w:p>
        </w:tc>
      </w:tr>
    </w:tbl>
    <w:p>
      <w:pPr>
        <w:spacing w:after="140" w:before="0"/>
      </w:pPr>
    </w:p>
    <w:p>
      <w:r>
        <w:br w:type="page"/>
      </w:r>
    </w:p>
    <w:p>
      <w:pPr>
        <w:pStyle w:val="Heading1"/>
        <w:spacing w:after="120" w:before="320"/>
      </w:pPr>
      <w:r>
        <w:rPr>
          <w:b/>
          <w:bCs/>
          <w:color w:val="111318"/>
          <w:sz w:val="30"/>
          <w:szCs w:val="30"/>
        </w:rPr>
        <w:t xml:space="preserve">4. Chronologie par phase</w:t>
      </w:r>
    </w:p>
    <w:p>
      <w:pPr>
        <w:spacing w:after="120" w:before="0" w:line="276"/>
        <w:jc w:val="both"/>
      </w:pPr>
      <w:r>
        <w:rPr>
          <w:color w:val="111318"/>
          <w:sz w:val="20"/>
          <w:szCs w:val="20"/>
        </w:rPr>
        <w:t xml:space="preserve">Le projet s’étend sur cinq mois. Les phases ci-dessous suivent le rythme réel des livraisons plutôt qu’un découpage théorique en sprints de deux semaines, que l’historique ne reflète pas.</w:t>
      </w:r>
    </w:p>
    <w:p>
      <w:pPr>
        <w:pStyle w:val="Heading2"/>
        <w:spacing w:after="120" w:before="220"/>
      </w:pPr>
      <w:r>
        <w:rPr>
          <w:b/>
          <w:bCs/>
          <w:color w:val="5B2AB5"/>
          <w:sz w:val="24"/>
          <w:szCs w:val="24"/>
        </w:rPr>
        <w:t xml:space="preserve">Phase 1 — Avril 2026 — Fondations</w:t>
      </w:r>
    </w:p>
    <w:p>
      <w:pPr>
        <w:spacing w:after="120" w:before="0" w:line="276"/>
        <w:jc w:val="both"/>
      </w:pPr>
      <w:r>
        <w:rPr>
          <w:color w:val="111318"/>
          <w:sz w:val="20"/>
          <w:szCs w:val="20"/>
        </w:rPr>
        <w:t xml:space="preserve">Volume Youri / Tim / Alexis : </w:t>
      </w:r>
      <w:r>
        <w:rPr>
          <w:b/>
          <w:bCs/>
          <w:color w:val="111318"/>
          <w:sz w:val="20"/>
          <w:szCs w:val="20"/>
        </w:rPr>
        <w:t xml:space="preserve">14 / 2 / 3</w:t>
      </w:r>
      <w:r>
        <w:rPr>
          <w:color w:val="111318"/>
          <w:sz w:val="20"/>
          <w:szCs w:val="20"/>
        </w:rPr>
        <w:t xml:space="preserve"> commits</w:t>
      </w:r>
    </w:p>
    <w:tbl>
      <w:tblPr>
        <w:tblW w:type="dxa" w:w="9751"/>
        <w:tblBorders>
          <w:top w:val="single" w:color="auto" w:sz="4"/>
          <w:left w:val="single" w:color="auto" w:sz="4"/>
          <w:bottom w:val="single" w:color="auto" w:sz="4"/>
          <w:right w:val="single" w:color="auto" w:sz="4"/>
          <w:insideH w:val="single" w:color="auto" w:sz="4"/>
          <w:insideV w:val="single" w:color="auto" w:sz="4"/>
        </w:tblBorders>
      </w:tblPr>
      <w:tblGrid>
        <w:gridCol w:w="1361"/>
        <w:gridCol w:w="8390"/>
      </w:tblGrid>
      <w:tr>
        <w:tc>
          <w:tcPr>
            <w:tcW w:type="dxa" w:w="1361"/>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Membre</w:t>
            </w:r>
          </w:p>
        </w:tc>
        <w:tc>
          <w:tcPr>
            <w:tcW w:type="dxa" w:w="8390"/>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Contribution</w:t>
            </w:r>
          </w:p>
        </w:tc>
      </w:tr>
      <w:tr>
        <w:tc>
          <w:tcPr>
            <w:tcW w:type="dxa" w:w="1361"/>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Youri</w:t>
            </w:r>
          </w:p>
        </w:tc>
        <w:tc>
          <w:tcPr>
            <w:tcW w:type="dxa" w:w="8390"/>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Initialisation du dépôt, restructuration en </w:t>
            </w:r>
            <w:r>
              <w:rPr>
                <w:i/>
                <w:iCs/>
                <w:color w:val="111318"/>
                <w:sz w:val="17"/>
                <w:szCs w:val="17"/>
              </w:rPr>
              <w:t xml:space="preserve">go/</w:t>
            </w:r>
            <w:r>
              <w:rPr>
                <w:color w:val="111318"/>
                <w:sz w:val="17"/>
                <w:szCs w:val="17"/>
              </w:rPr>
              <w:t xml:space="preserve"> et </w:t>
            </w:r>
            <w:r>
              <w:rPr>
                <w:i/>
                <w:iCs/>
                <w:color w:val="111318"/>
                <w:sz w:val="17"/>
                <w:szCs w:val="17"/>
              </w:rPr>
              <w:t xml:space="preserve">flutter/</w:t>
            </w:r>
            <w:r>
              <w:rPr>
                <w:color w:val="111318"/>
                <w:sz w:val="17"/>
                <w:szCs w:val="17"/>
              </w:rPr>
              <w:t xml:space="preserve">, conteneurisation initiale, entité JWTClaims et premiers tests du use case d’authentification avec clés RSA de test.</w:t>
            </w:r>
          </w:p>
        </w:tc>
      </w:tr>
      <w:tr>
        <w:tc>
          <w:tcPr>
            <w:tcW w:type="dxa" w:w="1361"/>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Tim</w:t>
            </w:r>
          </w:p>
        </w:tc>
        <w:tc>
          <w:tcPr>
            <w:tcW w:type="dxa" w:w="8390"/>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Mise en place de la chaîne Flutter et premières corrections d’intégration continue.</w:t>
            </w:r>
          </w:p>
        </w:tc>
      </w:tr>
      <w:tr>
        <w:tc>
          <w:tcPr>
            <w:tcW w:type="dxa" w:w="1361"/>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Alexis</w:t>
            </w:r>
          </w:p>
        </w:tc>
        <w:tc>
          <w:tcPr>
            <w:tcW w:type="dxa" w:w="8390"/>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Handler d’authentification : gestion du conflit 409, tests </w:t>
            </w:r>
            <w:r>
              <w:rPr>
                <w:i/>
                <w:iCs/>
                <w:color w:val="111318"/>
                <w:sz w:val="17"/>
                <w:szCs w:val="17"/>
              </w:rPr>
              <w:t xml:space="preserve">httptest</w:t>
            </w:r>
            <w:r>
              <w:rPr>
                <w:color w:val="111318"/>
                <w:sz w:val="17"/>
                <w:szCs w:val="17"/>
              </w:rPr>
              <w:t xml:space="preserve"> sur Register et Login, extraction et validation du JWT RS256, hiérarchie des rôles RBAC.</w:t>
            </w:r>
          </w:p>
        </w:tc>
      </w:tr>
    </w:tbl>
    <w:p>
      <w:pPr>
        <w:spacing w:after="140" w:before="0"/>
      </w:pPr>
    </w:p>
    <w:p>
      <w:pPr>
        <w:pStyle w:val="Heading2"/>
        <w:spacing w:after="120" w:before="220"/>
      </w:pPr>
      <w:r>
        <w:rPr>
          <w:b/>
          <w:bCs/>
          <w:color w:val="5B2AB5"/>
          <w:sz w:val="24"/>
          <w:szCs w:val="24"/>
        </w:rPr>
        <w:t xml:space="preserve">Phase 2 — Mai 2026 — Authentification, playlists, socle mobile</w:t>
      </w:r>
    </w:p>
    <w:p>
      <w:pPr>
        <w:spacing w:after="120" w:before="0" w:line="276"/>
        <w:jc w:val="both"/>
      </w:pPr>
      <w:r>
        <w:rPr>
          <w:color w:val="111318"/>
          <w:sz w:val="20"/>
          <w:szCs w:val="20"/>
        </w:rPr>
        <w:t xml:space="preserve">Volume Youri / Tim / Alexis : </w:t>
      </w:r>
      <w:r>
        <w:rPr>
          <w:b/>
          <w:bCs/>
          <w:color w:val="111318"/>
          <w:sz w:val="20"/>
          <w:szCs w:val="20"/>
        </w:rPr>
        <w:t xml:space="preserve">11 / 10 / 8</w:t>
      </w:r>
      <w:r>
        <w:rPr>
          <w:color w:val="111318"/>
          <w:sz w:val="20"/>
          <w:szCs w:val="20"/>
        </w:rPr>
        <w:t xml:space="preserve"> commits</w:t>
      </w:r>
    </w:p>
    <w:tbl>
      <w:tblPr>
        <w:tblW w:type="dxa" w:w="9751"/>
        <w:tblBorders>
          <w:top w:val="single" w:color="auto" w:sz="4"/>
          <w:left w:val="single" w:color="auto" w:sz="4"/>
          <w:bottom w:val="single" w:color="auto" w:sz="4"/>
          <w:right w:val="single" w:color="auto" w:sz="4"/>
          <w:insideH w:val="single" w:color="auto" w:sz="4"/>
          <w:insideV w:val="single" w:color="auto" w:sz="4"/>
        </w:tblBorders>
      </w:tblPr>
      <w:tblGrid>
        <w:gridCol w:w="1361"/>
        <w:gridCol w:w="8390"/>
      </w:tblGrid>
      <w:tr>
        <w:tc>
          <w:tcPr>
            <w:tcW w:type="dxa" w:w="1361"/>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Membre</w:t>
            </w:r>
          </w:p>
        </w:tc>
        <w:tc>
          <w:tcPr>
            <w:tcW w:type="dxa" w:w="8390"/>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Contribution</w:t>
            </w:r>
          </w:p>
        </w:tc>
      </w:tr>
      <w:tr>
        <w:tc>
          <w:tcPr>
            <w:tcW w:type="dxa" w:w="1361"/>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Youri</w:t>
            </w:r>
          </w:p>
        </w:tc>
        <w:tc>
          <w:tcPr>
            <w:tcW w:type="dxa" w:w="8390"/>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Retrait des clés RSA du dépôt au profit d’une génération en mémoire. Vertical slice playlists complète : mock de repository, use case CRUD avec contrôle de propriété, tests table-driven, handler à sept points d’entrée et routes.</w:t>
            </w:r>
          </w:p>
        </w:tc>
      </w:tr>
      <w:tr>
        <w:tc>
          <w:tcPr>
            <w:tcW w:type="dxa" w:w="1361"/>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Tim</w:t>
            </w:r>
          </w:p>
        </w:tc>
        <w:tc>
          <w:tcPr>
            <w:tcW w:type="dxa" w:w="8390"/>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Logs structurés JSON via zerolog et middleware Gin (US-006), résolution des alertes golangci-lint, retrait d’un secret committé.</w:t>
            </w:r>
          </w:p>
        </w:tc>
      </w:tr>
      <w:tr>
        <w:tc>
          <w:tcPr>
            <w:tcW w:type="dxa" w:w="1361"/>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Alexis</w:t>
            </w:r>
          </w:p>
        </w:tc>
        <w:tc>
          <w:tcPr>
            <w:tcW w:type="dxa" w:w="8390"/>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Finalisation du couple handler d’authentification et middleware RBAC (US-001, US-002). Démarrage du socle Flutter : structure MVVM, client API, thème Material 3 avec mode sombre, widgets conformes WCAG 2.1.</w:t>
            </w:r>
          </w:p>
        </w:tc>
      </w:tr>
    </w:tbl>
    <w:p>
      <w:pPr>
        <w:spacing w:after="140" w:before="0"/>
      </w:pPr>
    </w:p>
    <w:p>
      <w:pPr>
        <w:pStyle w:val="Heading2"/>
        <w:spacing w:after="120" w:before="220"/>
      </w:pPr>
      <w:r>
        <w:rPr>
          <w:b/>
          <w:bCs/>
          <w:color w:val="5B2AB5"/>
          <w:sz w:val="24"/>
          <w:szCs w:val="24"/>
        </w:rPr>
        <w:t xml:space="preserve">Phase 3 — Juin 2026 — Observabilité, sécurité, administration</w:t>
      </w:r>
    </w:p>
    <w:p>
      <w:pPr>
        <w:spacing w:after="120" w:before="0" w:line="276"/>
        <w:jc w:val="both"/>
      </w:pPr>
      <w:r>
        <w:rPr>
          <w:color w:val="111318"/>
          <w:sz w:val="20"/>
          <w:szCs w:val="20"/>
        </w:rPr>
        <w:t xml:space="preserve">Volume Youri / Tim / Alexis : </w:t>
      </w:r>
      <w:r>
        <w:rPr>
          <w:b/>
          <w:bCs/>
          <w:color w:val="111318"/>
          <w:sz w:val="20"/>
          <w:szCs w:val="20"/>
        </w:rPr>
        <w:t xml:space="preserve">18 / 22 / 10</w:t>
      </w:r>
      <w:r>
        <w:rPr>
          <w:color w:val="111318"/>
          <w:sz w:val="20"/>
          <w:szCs w:val="20"/>
        </w:rPr>
        <w:t xml:space="preserve"> commits</w:t>
      </w:r>
    </w:p>
    <w:tbl>
      <w:tblPr>
        <w:tblW w:type="dxa" w:w="9751"/>
        <w:tblBorders>
          <w:top w:val="single" w:color="auto" w:sz="4"/>
          <w:left w:val="single" w:color="auto" w:sz="4"/>
          <w:bottom w:val="single" w:color="auto" w:sz="4"/>
          <w:right w:val="single" w:color="auto" w:sz="4"/>
          <w:insideH w:val="single" w:color="auto" w:sz="4"/>
          <w:insideV w:val="single" w:color="auto" w:sz="4"/>
        </w:tblBorders>
      </w:tblPr>
      <w:tblGrid>
        <w:gridCol w:w="1361"/>
        <w:gridCol w:w="8390"/>
      </w:tblGrid>
      <w:tr>
        <w:tc>
          <w:tcPr>
            <w:tcW w:type="dxa" w:w="1361"/>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Membre</w:t>
            </w:r>
          </w:p>
        </w:tc>
        <w:tc>
          <w:tcPr>
            <w:tcW w:type="dxa" w:w="8390"/>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Contribution</w:t>
            </w:r>
          </w:p>
        </w:tc>
      </w:tr>
      <w:tr>
        <w:tc>
          <w:tcPr>
            <w:tcW w:type="dxa" w:w="1361"/>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Youri</w:t>
            </w:r>
          </w:p>
        </w:tc>
        <w:tc>
          <w:tcPr>
            <w:tcW w:type="dxa" w:w="8390"/>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Chaîne d’observabilité de bout en bout : client Prometheus et collecteurs personnalisés, jauge d’auditeurs câblée dans le Hub, middleware de mesure des durées, exposition de </w:t>
            </w:r>
            <w:r>
              <w:rPr>
                <w:i/>
                <w:iCs/>
                <w:color w:val="111318"/>
                <w:sz w:val="17"/>
                <w:szCs w:val="17"/>
              </w:rPr>
              <w:t xml:space="preserve">/metrics</w:t>
            </w:r>
            <w:r>
              <w:rPr>
                <w:color w:val="111318"/>
                <w:sz w:val="17"/>
                <w:szCs w:val="17"/>
              </w:rPr>
              <w:t xml:space="preserve">, provisionnement Grafana à quatre panneaux avec alerting, ADR sur le choix pull contre push. Administration : suspension et gestion des comptes.</w:t>
            </w:r>
          </w:p>
        </w:tc>
      </w:tr>
      <w:tr>
        <w:tc>
          <w:tcPr>
            <w:tcW w:type="dxa" w:w="1361"/>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Tim</w:t>
            </w:r>
          </w:p>
        </w:tc>
        <w:tc>
          <w:tcPr>
            <w:tcW w:type="dxa" w:w="8390"/>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Sécurisation Gin : TLS, limitation de débit (US-015). Nombreuses itérations sur l’intégration continue et l’alignement des versions Go.</w:t>
            </w:r>
          </w:p>
        </w:tc>
      </w:tr>
      <w:tr>
        <w:tc>
          <w:tcPr>
            <w:tcW w:type="dxa" w:w="1361"/>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Alexis</w:t>
            </w:r>
          </w:p>
        </w:tc>
        <w:tc>
          <w:tcPr>
            <w:tcW w:type="dxa" w:w="8390"/>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Migration de l’application Flutter vers une architecture propre : dépendances, modèles d’API, repositories et notifiers, écrans, widgets et routeur, retrait du code hérité. Côté Go, vertical slice d’administration (handler, use case, repository). Écran diffuseur.</w:t>
            </w:r>
          </w:p>
        </w:tc>
      </w:tr>
    </w:tbl>
    <w:p>
      <w:pPr>
        <w:spacing w:after="140" w:before="0"/>
      </w:pPr>
    </w:p>
    <w:p>
      <w:pPr>
        <w:pStyle w:val="Heading2"/>
        <w:spacing w:after="120" w:before="220"/>
      </w:pPr>
      <w:r>
        <w:rPr>
          <w:b/>
          <w:bCs/>
          <w:color w:val="5B2AB5"/>
          <w:sz w:val="24"/>
          <w:szCs w:val="24"/>
        </w:rPr>
        <w:t xml:space="preserve">Phase 4 — Juillet 2026 — Fonctionnalités métier et mise en production</w:t>
      </w:r>
    </w:p>
    <w:p>
      <w:pPr>
        <w:spacing w:after="120" w:before="0" w:line="276"/>
        <w:jc w:val="both"/>
      </w:pPr>
      <w:r>
        <w:rPr>
          <w:color w:val="111318"/>
          <w:sz w:val="20"/>
          <w:szCs w:val="20"/>
        </w:rPr>
        <w:t xml:space="preserve">Volume Youri / Tim / Alexis : </w:t>
      </w:r>
      <w:r>
        <w:rPr>
          <w:b/>
          <w:bCs/>
          <w:color w:val="111318"/>
          <w:sz w:val="20"/>
          <w:szCs w:val="20"/>
        </w:rPr>
        <w:t xml:space="preserve">26 / 8 / 18</w:t>
      </w:r>
      <w:r>
        <w:rPr>
          <w:color w:val="111318"/>
          <w:sz w:val="20"/>
          <w:szCs w:val="20"/>
        </w:rPr>
        <w:t xml:space="preserve"> commits</w:t>
      </w:r>
    </w:p>
    <w:tbl>
      <w:tblPr>
        <w:tblW w:type="dxa" w:w="9751"/>
        <w:tblBorders>
          <w:top w:val="single" w:color="auto" w:sz="4"/>
          <w:left w:val="single" w:color="auto" w:sz="4"/>
          <w:bottom w:val="single" w:color="auto" w:sz="4"/>
          <w:right w:val="single" w:color="auto" w:sz="4"/>
          <w:insideH w:val="single" w:color="auto" w:sz="4"/>
          <w:insideV w:val="single" w:color="auto" w:sz="4"/>
        </w:tblBorders>
      </w:tblPr>
      <w:tblGrid>
        <w:gridCol w:w="1361"/>
        <w:gridCol w:w="8390"/>
      </w:tblGrid>
      <w:tr>
        <w:tc>
          <w:tcPr>
            <w:tcW w:type="dxa" w:w="1361"/>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Membre</w:t>
            </w:r>
          </w:p>
        </w:tc>
        <w:tc>
          <w:tcPr>
            <w:tcW w:type="dxa" w:w="8390"/>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Contribution</w:t>
            </w:r>
          </w:p>
        </w:tc>
      </w:tr>
      <w:tr>
        <w:tc>
          <w:tcPr>
            <w:tcW w:type="dxa" w:w="1361"/>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Youri</w:t>
            </w:r>
          </w:p>
        </w:tc>
        <w:tc>
          <w:tcPr>
            <w:tcW w:type="dxa" w:w="8390"/>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Blocage des comptes suspendus à la connexion, migrations 006 à 008, consultation anonyme des directs, vertical slice favoris, repository Supabase réel pour les playlists avec réordonnancement et file d’attente, entité et repository d’historique d’écoute.</w:t>
            </w:r>
          </w:p>
        </w:tc>
      </w:tr>
      <w:tr>
        <w:tc>
          <w:tcPr>
            <w:tcW w:type="dxa" w:w="1361"/>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Tim</w:t>
            </w:r>
          </w:p>
        </w:tc>
        <w:tc>
          <w:tcPr>
            <w:tcW w:type="dxa" w:w="8390"/>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Points d’entrée et traces, dashboard Grafana, persistance des événements de connexion et de déconnexion, nettoyage du projet.</w:t>
            </w:r>
          </w:p>
        </w:tc>
      </w:tr>
      <w:tr>
        <w:tc>
          <w:tcPr>
            <w:tcW w:type="dxa" w:w="1361"/>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Alexis</w:t>
            </w:r>
          </w:p>
        </w:tc>
        <w:tc>
          <w:tcPr>
            <w:tcW w:type="dxa" w:w="8390"/>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Panel d’administration Flutter (liste des utilisateurs, changement de rôle, statistiques), routeur sensible au rôle, configuration par </w:t>
            </w:r>
            <w:r>
              <w:rPr>
                <w:i/>
                <w:iCs/>
                <w:color w:val="111318"/>
                <w:sz w:val="17"/>
                <w:szCs w:val="17"/>
              </w:rPr>
              <w:t xml:space="preserve">dart-define</w:t>
            </w:r>
            <w:r>
              <w:rPr>
                <w:color w:val="111318"/>
                <w:sz w:val="17"/>
                <w:szCs w:val="17"/>
              </w:rPr>
              <w:t xml:space="preserve">, lecteur audio avec état de mise en tampon et reprise sur erreur, tests unitaires des notifiers, thème sombre.</w:t>
            </w:r>
          </w:p>
        </w:tc>
      </w:tr>
    </w:tbl>
    <w:p>
      <w:pPr>
        <w:spacing w:after="140" w:before="0"/>
      </w:pPr>
    </w:p>
    <w:p>
      <w:pPr>
        <w:pStyle w:val="Heading2"/>
        <w:spacing w:after="120" w:before="220"/>
      </w:pPr>
      <w:r>
        <w:rPr>
          <w:b/>
          <w:bCs/>
          <w:color w:val="5B2AB5"/>
          <w:sz w:val="24"/>
          <w:szCs w:val="24"/>
        </w:rPr>
        <w:t xml:space="preserve">Phase 5 — Août 2026 — Audio temps réel, production, mobile natif</w:t>
      </w:r>
    </w:p>
    <w:p>
      <w:pPr>
        <w:spacing w:after="120" w:before="0" w:line="276"/>
        <w:jc w:val="both"/>
      </w:pPr>
      <w:r>
        <w:rPr>
          <w:color w:val="111318"/>
          <w:sz w:val="20"/>
          <w:szCs w:val="20"/>
        </w:rPr>
        <w:t xml:space="preserve">Volume Youri / Tim / Alexis : </w:t>
      </w:r>
      <w:r>
        <w:rPr>
          <w:b/>
          <w:bCs/>
          <w:color w:val="111318"/>
          <w:sz w:val="20"/>
          <w:szCs w:val="20"/>
        </w:rPr>
        <w:t xml:space="preserve">19 / 15 / 3</w:t>
      </w:r>
      <w:r>
        <w:rPr>
          <w:color w:val="111318"/>
          <w:sz w:val="20"/>
          <w:szCs w:val="20"/>
        </w:rPr>
        <w:t xml:space="preserve"> commits</w:t>
      </w:r>
    </w:p>
    <w:tbl>
      <w:tblPr>
        <w:tblW w:type="dxa" w:w="9751"/>
        <w:tblBorders>
          <w:top w:val="single" w:color="auto" w:sz="4"/>
          <w:left w:val="single" w:color="auto" w:sz="4"/>
          <w:bottom w:val="single" w:color="auto" w:sz="4"/>
          <w:right w:val="single" w:color="auto" w:sz="4"/>
          <w:insideH w:val="single" w:color="auto" w:sz="4"/>
          <w:insideV w:val="single" w:color="auto" w:sz="4"/>
        </w:tblBorders>
      </w:tblPr>
      <w:tblGrid>
        <w:gridCol w:w="1361"/>
        <w:gridCol w:w="8390"/>
      </w:tblGrid>
      <w:tr>
        <w:tc>
          <w:tcPr>
            <w:tcW w:type="dxa" w:w="1361"/>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Membre</w:t>
            </w:r>
          </w:p>
        </w:tc>
        <w:tc>
          <w:tcPr>
            <w:tcW w:type="dxa" w:w="8390"/>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Contribution</w:t>
            </w:r>
          </w:p>
        </w:tc>
      </w:tr>
      <w:tr>
        <w:tc>
          <w:tcPr>
            <w:tcW w:type="dxa" w:w="1361"/>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Youri</w:t>
            </w:r>
          </w:p>
        </w:tc>
        <w:tc>
          <w:tcPr>
            <w:tcW w:type="dxa" w:w="8390"/>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ADR-007 sur le protocole de diffusion, recommandations issues de l’historique, tests d’intégration audio couvrant le diffuseur vers plusieurs auditeurs, la déconnexion et l’arrivée tardive. Pile audio mobile : lecture en arrière-plan, contrôles média, reconnexion automatique, décodage iOS, diffusion depuis le microphone sur Android et iOS.</w:t>
            </w:r>
          </w:p>
        </w:tc>
      </w:tr>
      <w:tr>
        <w:tc>
          <w:tcPr>
            <w:tcW w:type="dxa" w:w="1361"/>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Tim</w:t>
            </w:r>
          </w:p>
        </w:tc>
        <w:tc>
          <w:tcPr>
            <w:tcW w:type="dxa" w:w="8390"/>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Infrastructure de production, chaîne de déploiement continu, corrections successives du pipeline, archivage des preuves de mise en production et de retour arrière.</w:t>
            </w:r>
          </w:p>
        </w:tc>
      </w:tr>
      <w:tr>
        <w:tc>
          <w:tcPr>
            <w:tcW w:type="dxa" w:w="1361"/>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Alexis</w:t>
            </w:r>
          </w:p>
        </w:tc>
        <w:tc>
          <w:tcPr>
            <w:tcW w:type="dxa" w:w="8390"/>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Sémantique d’accessibilité sur les cartes et le mini-lecteur, détection de l’état de connexion, exposition des recommandations dans l’écran d’accueil.</w:t>
            </w:r>
          </w:p>
        </w:tc>
      </w:tr>
    </w:tbl>
    <w:p>
      <w:pPr>
        <w:spacing w:after="140" w:before="0"/>
      </w:pPr>
    </w:p>
    <w:p>
      <w:r>
        <w:br w:type="page"/>
      </w:r>
    </w:p>
    <w:p>
      <w:pPr>
        <w:pStyle w:val="Heading1"/>
        <w:spacing w:after="120" w:before="320"/>
      </w:pPr>
      <w:r>
        <w:rPr>
          <w:b/>
          <w:bCs/>
          <w:color w:val="111318"/>
          <w:sz w:val="30"/>
          <w:szCs w:val="30"/>
        </w:rPr>
        <w:t xml:space="preserve">5. Fiches individuelles</w:t>
      </w:r>
    </w:p>
    <w:p>
      <w:pPr>
        <w:pStyle w:val="Heading2"/>
        <w:spacing w:after="120" w:before="220"/>
      </w:pPr>
      <w:r>
        <w:rPr>
          <w:b/>
          <w:bCs/>
          <w:color w:val="5B2AB5"/>
          <w:sz w:val="24"/>
          <w:szCs w:val="24"/>
        </w:rPr>
        <w:t xml:space="preserve">5.1 Youri — Transverse backend, tests et audio mobile</w:t>
      </w:r>
    </w:p>
    <w:tbl>
      <w:tblPr>
        <w:tblW w:type="dxa" w:w="9751"/>
        <w:tblBorders>
          <w:top w:val="single" w:color="auto" w:sz="4"/>
          <w:left w:val="single" w:color="auto" w:sz="4"/>
          <w:bottom w:val="single" w:color="auto" w:sz="4"/>
          <w:right w:val="single" w:color="auto" w:sz="4"/>
          <w:insideH w:val="single" w:color="auto" w:sz="4"/>
          <w:insideV w:val="single" w:color="auto" w:sz="4"/>
        </w:tblBorders>
      </w:tblPr>
      <w:tblGrid>
        <w:gridCol w:w="1701"/>
        <w:gridCol w:w="1814"/>
        <w:gridCol w:w="6236"/>
      </w:tblGrid>
      <w:tr>
        <w:tc>
          <w:tcPr>
            <w:tcW w:type="dxa" w:w="1701"/>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b/>
                <w:bCs/>
                <w:color w:val="111318"/>
                <w:sz w:val="17"/>
                <w:szCs w:val="17"/>
              </w:rPr>
              <w:t xml:space="preserve">88</w:t>
            </w:r>
            <w:r>
              <w:rPr>
                <w:color w:val="111318"/>
                <w:sz w:val="17"/>
                <w:szCs w:val="17"/>
              </w:rPr>
              <w:t xml:space="preserve"> commits</w:t>
            </w:r>
          </w:p>
        </w:tc>
        <w:tc>
          <w:tcPr>
            <w:tcW w:type="dxa" w:w="1814"/>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b/>
                <w:bCs/>
                <w:color w:val="111318"/>
                <w:sz w:val="17"/>
                <w:szCs w:val="17"/>
              </w:rPr>
              <w:t xml:space="preserve">20/21</w:t>
            </w:r>
            <w:r>
              <w:rPr>
                <w:color w:val="111318"/>
                <w:sz w:val="17"/>
                <w:szCs w:val="17"/>
              </w:rPr>
              <w:t xml:space="preserve"> modules</w:t>
            </w:r>
          </w:p>
        </w:tc>
        <w:tc>
          <w:tcPr>
            <w:tcW w:type="dxa" w:w="6236"/>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2026-04-10 → 2026-08-19</w:t>
            </w:r>
          </w:p>
        </w:tc>
      </w:tr>
    </w:tbl>
    <w:p>
      <w:pPr>
        <w:spacing w:after="140" w:before="0"/>
      </w:pPr>
    </w:p>
    <w:p>
      <w:pPr>
        <w:spacing w:after="120" w:before="0" w:line="276"/>
        <w:jc w:val="both"/>
      </w:pPr>
      <w:r>
        <w:rPr>
          <w:color w:val="111318"/>
          <w:sz w:val="20"/>
          <w:szCs w:val="20"/>
        </w:rPr>
        <w:t xml:space="preserve">Présent du premier au dernier commit de la période. Intervient sur vingt modules sur vingt et un. Sa contribution se concentre sur la couche métier et la persistance (use cases, repositories, entités, migrations), sur la couverture de tests du backend, et sur la pile audio mobile en fin de projet. Il a porté seul plusieurs vertical slices complètes — playlists, favoris, historique d’écoute, recommandations — de l’entité jusqu’à la route.</w:t>
      </w:r>
    </w:p>
    <w:p>
      <w:pPr>
        <w:spacing w:after="120" w:before="0" w:line="276"/>
        <w:jc w:val="both"/>
      </w:pPr>
      <w:r>
        <w:rPr>
          <w:b/>
          <w:bCs/>
          <w:color w:val="111318"/>
          <w:sz w:val="20"/>
          <w:szCs w:val="20"/>
        </w:rPr>
        <w:t xml:space="preserve">Modules dominants</w:t>
      </w:r>
    </w:p>
    <w:tbl>
      <w:tblPr>
        <w:tblW w:type="dxa" w:w="9751"/>
        <w:tblBorders>
          <w:top w:val="single" w:color="auto" w:sz="4"/>
          <w:left w:val="single" w:color="auto" w:sz="4"/>
          <w:bottom w:val="single" w:color="auto" w:sz="4"/>
          <w:right w:val="single" w:color="auto" w:sz="4"/>
          <w:insideH w:val="single" w:color="auto" w:sz="4"/>
          <w:insideV w:val="single" w:color="auto" w:sz="4"/>
        </w:tblBorders>
      </w:tblPr>
      <w:tblGrid>
        <w:gridCol w:w="8277"/>
        <w:gridCol w:w="1474"/>
      </w:tblGrid>
      <w:tr>
        <w:tc>
          <w:tcPr>
            <w:tcW w:type="dxa" w:w="8277"/>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Module</w:t>
            </w:r>
          </w:p>
        </w:tc>
        <w:tc>
          <w:tcPr>
            <w:tcW w:type="dxa" w:w="1474"/>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Commits</w:t>
            </w:r>
          </w:p>
        </w:tc>
      </w:tr>
      <w:tr>
        <w:tc>
          <w:tcPr>
            <w:tcW w:type="dxa" w:w="8277"/>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Tests Go</w:t>
            </w:r>
          </w:p>
        </w:tc>
        <w:tc>
          <w:tcPr>
            <w:tcW w:type="dxa" w:w="1474"/>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39</w:t>
            </w:r>
          </w:p>
        </w:tc>
      </w:tr>
      <w:tr>
        <w:tc>
          <w:tcPr>
            <w:tcW w:type="dxa" w:w="8277"/>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Persistance — Supabase / pgx</w:t>
            </w:r>
          </w:p>
        </w:tc>
        <w:tc>
          <w:tcPr>
            <w:tcW w:type="dxa" w:w="1474"/>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15</w:t>
            </w:r>
          </w:p>
        </w:tc>
      </w:tr>
      <w:tr>
        <w:tc>
          <w:tcPr>
            <w:tcW w:type="dxa" w:w="8277"/>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Métier — use cases</w:t>
            </w:r>
          </w:p>
        </w:tc>
        <w:tc>
          <w:tcPr>
            <w:tcW w:type="dxa" w:w="1474"/>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14</w:t>
            </w:r>
          </w:p>
        </w:tc>
      </w:tr>
      <w:tr>
        <w:tc>
          <w:tcPr>
            <w:tcW w:type="dxa" w:w="8277"/>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API — handlers HTTP</w:t>
            </w:r>
          </w:p>
        </w:tc>
        <w:tc>
          <w:tcPr>
            <w:tcW w:type="dxa" w:w="1474"/>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12</w:t>
            </w:r>
          </w:p>
        </w:tc>
      </w:tr>
      <w:tr>
        <w:tc>
          <w:tcPr>
            <w:tcW w:type="dxa" w:w="8277"/>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API — routage</w:t>
            </w:r>
          </w:p>
        </w:tc>
        <w:tc>
          <w:tcPr>
            <w:tcW w:type="dxa" w:w="1474"/>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11</w:t>
            </w:r>
          </w:p>
        </w:tc>
      </w:tr>
      <w:tr>
        <w:tc>
          <w:tcPr>
            <w:tcW w:type="dxa" w:w="8277"/>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Mobile — application Flutter</w:t>
            </w:r>
          </w:p>
        </w:tc>
        <w:tc>
          <w:tcPr>
            <w:tcW w:type="dxa" w:w="1474"/>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9</w:t>
            </w:r>
          </w:p>
        </w:tc>
      </w:tr>
    </w:tbl>
    <w:p>
      <w:pPr>
        <w:spacing w:after="140" w:before="0"/>
      </w:pPr>
    </w:p>
    <w:p>
      <w:pPr>
        <w:spacing w:after="120" w:before="0" w:line="264"/>
        <w:jc w:val="both"/>
      </w:pPr>
      <w:r>
        <w:rPr>
          <w:b/>
          <w:bCs/>
          <w:color w:val="4A4F58"/>
          <w:sz w:val="18"/>
          <w:szCs w:val="18"/>
        </w:rPr>
        <w:t xml:space="preserve">Rattachement aux user stories.</w:t>
      </w:r>
      <w:r>
        <w:rPr>
          <w:color w:val="4A4F58"/>
          <w:sz w:val="18"/>
          <w:szCs w:val="18"/>
        </w:rPr>
        <w:t xml:space="preserve"> US-003, US-007, US-010, US-013 citées explicitement ; contributions avérées sur US-001, US-005, US-016, US-018, US-020, US-025 par la cartographie des fichiers.</w:t>
      </w:r>
    </w:p>
    <w:p>
      <w:pPr>
        <w:pStyle w:val="Heading2"/>
        <w:spacing w:after="120" w:before="220"/>
      </w:pPr>
      <w:r>
        <w:rPr>
          <w:b/>
          <w:bCs/>
          <w:color w:val="5B2AB5"/>
          <w:sz w:val="24"/>
          <w:szCs w:val="24"/>
        </w:rPr>
        <w:t xml:space="preserve">5.2 Tim — Industrialisation, sécurité et exploitation</w:t>
      </w:r>
    </w:p>
    <w:tbl>
      <w:tblPr>
        <w:tblW w:type="dxa" w:w="9751"/>
        <w:tblBorders>
          <w:top w:val="single" w:color="auto" w:sz="4"/>
          <w:left w:val="single" w:color="auto" w:sz="4"/>
          <w:bottom w:val="single" w:color="auto" w:sz="4"/>
          <w:right w:val="single" w:color="auto" w:sz="4"/>
          <w:insideH w:val="single" w:color="auto" w:sz="4"/>
          <w:insideV w:val="single" w:color="auto" w:sz="4"/>
        </w:tblBorders>
      </w:tblPr>
      <w:tblGrid>
        <w:gridCol w:w="1701"/>
        <w:gridCol w:w="1814"/>
        <w:gridCol w:w="6236"/>
      </w:tblGrid>
      <w:tr>
        <w:tc>
          <w:tcPr>
            <w:tcW w:type="dxa" w:w="1701"/>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b/>
                <w:bCs/>
                <w:color w:val="111318"/>
                <w:sz w:val="17"/>
                <w:szCs w:val="17"/>
              </w:rPr>
              <w:t xml:space="preserve">57</w:t>
            </w:r>
            <w:r>
              <w:rPr>
                <w:color w:val="111318"/>
                <w:sz w:val="17"/>
                <w:szCs w:val="17"/>
              </w:rPr>
              <w:t xml:space="preserve"> commits</w:t>
            </w:r>
          </w:p>
        </w:tc>
        <w:tc>
          <w:tcPr>
            <w:tcW w:type="dxa" w:w="1814"/>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b/>
                <w:bCs/>
                <w:color w:val="111318"/>
                <w:sz w:val="17"/>
                <w:szCs w:val="17"/>
              </w:rPr>
              <w:t xml:space="preserve">21/21</w:t>
            </w:r>
            <w:r>
              <w:rPr>
                <w:color w:val="111318"/>
                <w:sz w:val="17"/>
                <w:szCs w:val="17"/>
              </w:rPr>
              <w:t xml:space="preserve"> modules</w:t>
            </w:r>
          </w:p>
        </w:tc>
        <w:tc>
          <w:tcPr>
            <w:tcW w:type="dxa" w:w="6236"/>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2026-04-18 → 2026-08-17</w:t>
            </w:r>
          </w:p>
        </w:tc>
      </w:tr>
    </w:tbl>
    <w:p>
      <w:pPr>
        <w:spacing w:after="140" w:before="0"/>
      </w:pPr>
    </w:p>
    <w:p>
      <w:pPr>
        <w:spacing w:after="120" w:before="0" w:line="276"/>
        <w:jc w:val="both"/>
      </w:pPr>
      <w:r>
        <w:rPr>
          <w:color w:val="111318"/>
          <w:sz w:val="20"/>
          <w:szCs w:val="20"/>
        </w:rPr>
        <w:t xml:space="preserve">Seul membre à intervenir sur les vingt et un modules. Son apport se distingue sur l’intégration et le déploiement continus, la documentation, l’observabilité opérationnelle et le durcissement de l’API. Il est le seul à avoir travaillé les campagnes de charge et les scripts de preuve. La mise en production effective et le retour arrière exercé lui sont attribuables.</w:t>
      </w:r>
    </w:p>
    <w:p>
      <w:pPr>
        <w:spacing w:after="120" w:before="0" w:line="276"/>
        <w:jc w:val="both"/>
      </w:pPr>
      <w:r>
        <w:rPr>
          <w:b/>
          <w:bCs/>
          <w:color w:val="111318"/>
          <w:sz w:val="20"/>
          <w:szCs w:val="20"/>
        </w:rPr>
        <w:t xml:space="preserve">Modules dominants</w:t>
      </w:r>
    </w:p>
    <w:tbl>
      <w:tblPr>
        <w:tblW w:type="dxa" w:w="9751"/>
        <w:tblBorders>
          <w:top w:val="single" w:color="auto" w:sz="4"/>
          <w:left w:val="single" w:color="auto" w:sz="4"/>
          <w:bottom w:val="single" w:color="auto" w:sz="4"/>
          <w:right w:val="single" w:color="auto" w:sz="4"/>
          <w:insideH w:val="single" w:color="auto" w:sz="4"/>
          <w:insideV w:val="single" w:color="auto" w:sz="4"/>
        </w:tblBorders>
      </w:tblPr>
      <w:tblGrid>
        <w:gridCol w:w="8277"/>
        <w:gridCol w:w="1474"/>
      </w:tblGrid>
      <w:tr>
        <w:tc>
          <w:tcPr>
            <w:tcW w:type="dxa" w:w="8277"/>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Module</w:t>
            </w:r>
          </w:p>
        </w:tc>
        <w:tc>
          <w:tcPr>
            <w:tcW w:type="dxa" w:w="1474"/>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Commits</w:t>
            </w:r>
          </w:p>
        </w:tc>
      </w:tr>
      <w:tr>
        <w:tc>
          <w:tcPr>
            <w:tcW w:type="dxa" w:w="8277"/>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CI/CD — pipelines</w:t>
            </w:r>
          </w:p>
        </w:tc>
        <w:tc>
          <w:tcPr>
            <w:tcW w:type="dxa" w:w="1474"/>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20</w:t>
            </w:r>
          </w:p>
        </w:tc>
      </w:tr>
      <w:tr>
        <w:tc>
          <w:tcPr>
            <w:tcW w:type="dxa" w:w="8277"/>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Tests Go</w:t>
            </w:r>
          </w:p>
        </w:tc>
        <w:tc>
          <w:tcPr>
            <w:tcW w:type="dxa" w:w="1474"/>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18</w:t>
            </w:r>
          </w:p>
        </w:tc>
      </w:tr>
      <w:tr>
        <w:tc>
          <w:tcPr>
            <w:tcW w:type="dxa" w:w="8277"/>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API — handlers HTTP</w:t>
            </w:r>
          </w:p>
        </w:tc>
        <w:tc>
          <w:tcPr>
            <w:tcW w:type="dxa" w:w="1474"/>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17</w:t>
            </w:r>
          </w:p>
        </w:tc>
      </w:tr>
      <w:tr>
        <w:tc>
          <w:tcPr>
            <w:tcW w:type="dxa" w:w="8277"/>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Documentation &amp; ADR</w:t>
            </w:r>
          </w:p>
        </w:tc>
        <w:tc>
          <w:tcPr>
            <w:tcW w:type="dxa" w:w="1474"/>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17</w:t>
            </w:r>
          </w:p>
        </w:tc>
      </w:tr>
      <w:tr>
        <w:tc>
          <w:tcPr>
            <w:tcW w:type="dxa" w:w="8277"/>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Conteneurisation &amp; outillage</w:t>
            </w:r>
          </w:p>
        </w:tc>
        <w:tc>
          <w:tcPr>
            <w:tcW w:type="dxa" w:w="1474"/>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12</w:t>
            </w:r>
          </w:p>
        </w:tc>
      </w:tr>
      <w:tr>
        <w:tc>
          <w:tcPr>
            <w:tcW w:type="dxa" w:w="8277"/>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Mobile — application Flutter</w:t>
            </w:r>
          </w:p>
        </w:tc>
        <w:tc>
          <w:tcPr>
            <w:tcW w:type="dxa" w:w="1474"/>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8</w:t>
            </w:r>
          </w:p>
        </w:tc>
      </w:tr>
    </w:tbl>
    <w:p>
      <w:pPr>
        <w:spacing w:after="140" w:before="0"/>
      </w:pPr>
    </w:p>
    <w:p>
      <w:pPr>
        <w:spacing w:after="120" w:before="0" w:line="264"/>
        <w:jc w:val="both"/>
      </w:pPr>
      <w:r>
        <w:rPr>
          <w:b/>
          <w:bCs/>
          <w:color w:val="4A4F58"/>
          <w:sz w:val="18"/>
          <w:szCs w:val="18"/>
        </w:rPr>
        <w:t xml:space="preserve">Rattachement aux user stories.</w:t>
      </w:r>
      <w:r>
        <w:rPr>
          <w:color w:val="4A4F58"/>
          <w:sz w:val="18"/>
          <w:szCs w:val="18"/>
        </w:rPr>
        <w:t xml:space="preserve"> US-001, US-002, US-006, US-015 citées explicitement ; contributions avérées sur US-004, US-008, US-010, US-014, US-018, US-019, US-022.</w:t>
      </w:r>
    </w:p>
    <w:p>
      <w:pPr>
        <w:pStyle w:val="Heading2"/>
        <w:spacing w:after="120" w:before="220"/>
      </w:pPr>
      <w:r>
        <w:rPr>
          <w:b/>
          <w:bCs/>
          <w:color w:val="5B2AB5"/>
          <w:sz w:val="24"/>
          <w:szCs w:val="24"/>
        </w:rPr>
        <w:t xml:space="preserve">5.3 Alexis — Référent Flutter et tranches verticales backend</w:t>
      </w:r>
    </w:p>
    <w:tbl>
      <w:tblPr>
        <w:tblW w:type="dxa" w:w="9751"/>
        <w:tblBorders>
          <w:top w:val="single" w:color="auto" w:sz="4"/>
          <w:left w:val="single" w:color="auto" w:sz="4"/>
          <w:bottom w:val="single" w:color="auto" w:sz="4"/>
          <w:right w:val="single" w:color="auto" w:sz="4"/>
          <w:insideH w:val="single" w:color="auto" w:sz="4"/>
          <w:insideV w:val="single" w:color="auto" w:sz="4"/>
        </w:tblBorders>
      </w:tblPr>
      <w:tblGrid>
        <w:gridCol w:w="1701"/>
        <w:gridCol w:w="1814"/>
        <w:gridCol w:w="6236"/>
      </w:tblGrid>
      <w:tr>
        <w:tc>
          <w:tcPr>
            <w:tcW w:type="dxa" w:w="1701"/>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b/>
                <w:bCs/>
                <w:color w:val="111318"/>
                <w:sz w:val="17"/>
                <w:szCs w:val="17"/>
              </w:rPr>
              <w:t xml:space="preserve">42</w:t>
            </w:r>
            <w:r>
              <w:rPr>
                <w:color w:val="111318"/>
                <w:sz w:val="17"/>
                <w:szCs w:val="17"/>
              </w:rPr>
              <w:t xml:space="preserve"> commits</w:t>
            </w:r>
          </w:p>
        </w:tc>
        <w:tc>
          <w:tcPr>
            <w:tcW w:type="dxa" w:w="1814"/>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b/>
                <w:bCs/>
                <w:color w:val="111318"/>
                <w:sz w:val="17"/>
                <w:szCs w:val="17"/>
              </w:rPr>
              <w:t xml:space="preserve">14/21</w:t>
            </w:r>
            <w:r>
              <w:rPr>
                <w:color w:val="111318"/>
                <w:sz w:val="17"/>
                <w:szCs w:val="17"/>
              </w:rPr>
              <w:t xml:space="preserve"> modules</w:t>
            </w:r>
          </w:p>
        </w:tc>
        <w:tc>
          <w:tcPr>
            <w:tcW w:type="dxa" w:w="6236"/>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2026-04-28 → 2026-08-11</w:t>
            </w:r>
          </w:p>
        </w:tc>
      </w:tr>
    </w:tbl>
    <w:p>
      <w:pPr>
        <w:spacing w:after="140" w:before="0"/>
      </w:pPr>
    </w:p>
    <w:p>
      <w:pPr>
        <w:spacing w:after="120" w:before="0" w:line="276"/>
        <w:jc w:val="both"/>
      </w:pPr>
      <w:r>
        <w:rPr>
          <w:color w:val="111318"/>
          <w:sz w:val="20"/>
          <w:szCs w:val="20"/>
        </w:rPr>
        <w:t xml:space="preserve">Alexis porte la majeure partie de l’application Flutter, avec trente commits sur </w:t>
      </w:r>
      <w:r>
        <w:rPr>
          <w:i/>
          <w:iCs/>
          <w:color w:val="111318"/>
          <w:sz w:val="20"/>
          <w:szCs w:val="20"/>
        </w:rPr>
        <w:t xml:space="preserve">flutter/lib</w:t>
      </w:r>
      <w:r>
        <w:rPr>
          <w:color w:val="111318"/>
          <w:sz w:val="20"/>
          <w:szCs w:val="20"/>
        </w:rPr>
        <w:t xml:space="preserve">, soit presque deux tiers du module et plus que Youri et Tim réunis. Il a posé l’architecture du client, le système de design Material 3, les repositories, les notifiers, le routeur, les écrans et les widgets accessibles. Côté backend, il a livré le couple authentification/RBAC en début de projet puis la tranche verticale d’administration. Son périmètre couvre quatorze modules sur vingt et un ; les modules d’industrialisation non couverts correspondent à une spécialisation de répartition, pas à une absence de contribution.</w:t>
      </w:r>
    </w:p>
    <w:p>
      <w:pPr>
        <w:spacing w:after="120" w:before="0" w:line="276"/>
        <w:jc w:val="both"/>
      </w:pPr>
      <w:r>
        <w:rPr>
          <w:b/>
          <w:bCs/>
          <w:color w:val="111318"/>
          <w:sz w:val="20"/>
          <w:szCs w:val="20"/>
        </w:rPr>
        <w:t xml:space="preserve">Modules dominants</w:t>
      </w:r>
    </w:p>
    <w:tbl>
      <w:tblPr>
        <w:tblW w:type="dxa" w:w="9751"/>
        <w:tblBorders>
          <w:top w:val="single" w:color="auto" w:sz="4"/>
          <w:left w:val="single" w:color="auto" w:sz="4"/>
          <w:bottom w:val="single" w:color="auto" w:sz="4"/>
          <w:right w:val="single" w:color="auto" w:sz="4"/>
          <w:insideH w:val="single" w:color="auto" w:sz="4"/>
          <w:insideV w:val="single" w:color="auto" w:sz="4"/>
        </w:tblBorders>
      </w:tblPr>
      <w:tblGrid>
        <w:gridCol w:w="8277"/>
        <w:gridCol w:w="1474"/>
      </w:tblGrid>
      <w:tr>
        <w:tc>
          <w:tcPr>
            <w:tcW w:type="dxa" w:w="8277"/>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Module</w:t>
            </w:r>
          </w:p>
        </w:tc>
        <w:tc>
          <w:tcPr>
            <w:tcW w:type="dxa" w:w="1474"/>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Commits</w:t>
            </w:r>
          </w:p>
        </w:tc>
      </w:tr>
      <w:tr>
        <w:tc>
          <w:tcPr>
            <w:tcW w:type="dxa" w:w="8277"/>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Mobile — application Flutter</w:t>
            </w:r>
          </w:p>
        </w:tc>
        <w:tc>
          <w:tcPr>
            <w:tcW w:type="dxa" w:w="1474"/>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30</w:t>
            </w:r>
          </w:p>
        </w:tc>
      </w:tr>
      <w:tr>
        <w:tc>
          <w:tcPr>
            <w:tcW w:type="dxa" w:w="8277"/>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Tests Go</w:t>
            </w:r>
          </w:p>
        </w:tc>
        <w:tc>
          <w:tcPr>
            <w:tcW w:type="dxa" w:w="1474"/>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8</w:t>
            </w:r>
          </w:p>
        </w:tc>
      </w:tr>
      <w:tr>
        <w:tc>
          <w:tcPr>
            <w:tcW w:type="dxa" w:w="8277"/>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API — handlers HTTP</w:t>
            </w:r>
          </w:p>
        </w:tc>
        <w:tc>
          <w:tcPr>
            <w:tcW w:type="dxa" w:w="1474"/>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6</w:t>
            </w:r>
          </w:p>
        </w:tc>
      </w:tr>
      <w:tr>
        <w:tc>
          <w:tcPr>
            <w:tcW w:type="dxa" w:w="8277"/>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Mobile — plateformes &amp; build</w:t>
            </w:r>
          </w:p>
        </w:tc>
        <w:tc>
          <w:tcPr>
            <w:tcW w:type="dxa" w:w="1474"/>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5</w:t>
            </w:r>
          </w:p>
        </w:tc>
      </w:tr>
      <w:tr>
        <w:tc>
          <w:tcPr>
            <w:tcW w:type="dxa" w:w="8277"/>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API — middlewares</w:t>
            </w:r>
          </w:p>
        </w:tc>
        <w:tc>
          <w:tcPr>
            <w:tcW w:type="dxa" w:w="1474"/>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4</w:t>
            </w:r>
          </w:p>
        </w:tc>
      </w:tr>
      <w:tr>
        <w:tc>
          <w:tcPr>
            <w:tcW w:type="dxa" w:w="8277"/>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Mobile — tests</w:t>
            </w:r>
          </w:p>
        </w:tc>
        <w:tc>
          <w:tcPr>
            <w:tcW w:type="dxa" w:w="1474"/>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3</w:t>
            </w:r>
          </w:p>
        </w:tc>
      </w:tr>
    </w:tbl>
    <w:p>
      <w:pPr>
        <w:spacing w:after="140" w:before="0"/>
      </w:pPr>
    </w:p>
    <w:p>
      <w:pPr>
        <w:spacing w:after="120" w:before="0" w:line="264"/>
        <w:jc w:val="both"/>
      </w:pPr>
      <w:r>
        <w:rPr>
          <w:b/>
          <w:bCs/>
          <w:color w:val="4A4F58"/>
          <w:sz w:val="18"/>
          <w:szCs w:val="18"/>
        </w:rPr>
        <w:t xml:space="preserve">Rattachement aux user stories.</w:t>
      </w:r>
      <w:r>
        <w:rPr>
          <w:color w:val="4A4F58"/>
          <w:sz w:val="18"/>
          <w:szCs w:val="18"/>
        </w:rPr>
        <w:t xml:space="preserve"> US-001, US-002 citées explicitement ; contributions avérées sur US-009, US-011, US-012, US-013, US-020.</w:t>
      </w:r>
    </w:p>
    <w:p>
      <w:r>
        <w:br w:type="page"/>
      </w:r>
    </w:p>
    <w:p>
      <w:pPr>
        <w:pStyle w:val="Heading1"/>
        <w:spacing w:after="120" w:before="320"/>
      </w:pPr>
      <w:r>
        <w:rPr>
          <w:b/>
          <w:bCs/>
          <w:color w:val="111318"/>
          <w:sz w:val="30"/>
          <w:szCs w:val="30"/>
        </w:rPr>
        <w:t xml:space="preserve">6. Polyvalence et rotation</w:t>
      </w:r>
    </w:p>
    <w:p>
      <w:pPr>
        <w:spacing w:after="120" w:before="0" w:line="276"/>
        <w:jc w:val="both"/>
      </w:pPr>
      <w:r>
        <w:rPr>
          <w:color w:val="111318"/>
          <w:sz w:val="20"/>
          <w:szCs w:val="20"/>
        </w:rPr>
        <w:t xml:space="preserve">L’équipe s’était fixé comme règle que chacun touche à tout, plutôt que de cloisonner les rôles. L’historique permet de vérifier cette intention.</w:t>
      </w:r>
    </w:p>
    <w:p>
      <w:pPr>
        <w:pStyle w:val="Heading2"/>
        <w:spacing w:after="120" w:before="220"/>
      </w:pPr>
      <w:r>
        <w:rPr>
          <w:b/>
          <w:bCs/>
          <w:color w:val="5B2AB5"/>
          <w:sz w:val="24"/>
          <w:szCs w:val="24"/>
        </w:rPr>
        <w:t xml:space="preserve">6.1 Ce que la règle a tenu</w:t>
      </w:r>
    </w:p>
    <w:p>
      <w:pPr>
        <w:pStyle w:val="ListParagraph"/>
        <w:numPr>
          <w:ilvl w:val="0"/>
          <w:numId w:val="2"/>
        </w:numPr>
        <w:spacing w:after="60" w:before="0" w:line="276"/>
      </w:pPr>
      <w:r>
        <w:rPr>
          <w:color w:val="111318"/>
          <w:sz w:val="20"/>
          <w:szCs w:val="20"/>
        </w:rPr>
        <w:t xml:space="preserve">Sur les vingt et un modules identifiés, </w:t>
      </w:r>
      <w:r>
        <w:rPr>
          <w:b/>
          <w:bCs/>
          <w:color w:val="111318"/>
          <w:sz w:val="20"/>
          <w:szCs w:val="20"/>
        </w:rPr>
        <w:t xml:space="preserve">seize comptent les trois membres</w:t>
      </w:r>
      <w:r>
        <w:rPr>
          <w:color w:val="111318"/>
          <w:sz w:val="20"/>
          <w:szCs w:val="20"/>
        </w:rPr>
        <w:t xml:space="preserve">.</w:t>
      </w:r>
    </w:p>
    <w:p>
      <w:pPr>
        <w:pStyle w:val="ListParagraph"/>
        <w:numPr>
          <w:ilvl w:val="0"/>
          <w:numId w:val="2"/>
        </w:numPr>
        <w:spacing w:after="60" w:before="0" w:line="276"/>
      </w:pPr>
      <w:r>
        <w:rPr>
          <w:color w:val="111318"/>
          <w:sz w:val="20"/>
          <w:szCs w:val="20"/>
        </w:rPr>
        <w:t xml:space="preserve">Les trois ont écrit du code Go et du code Dart : aucun n’est cantonné à une seule technologie.</w:t>
      </w:r>
    </w:p>
    <w:p>
      <w:pPr>
        <w:pStyle w:val="ListParagraph"/>
        <w:numPr>
          <w:ilvl w:val="0"/>
          <w:numId w:val="2"/>
        </w:numPr>
        <w:spacing w:after="60" w:before="0" w:line="276"/>
      </w:pPr>
      <w:r>
        <w:rPr>
          <w:color w:val="111318"/>
          <w:sz w:val="20"/>
          <w:szCs w:val="20"/>
        </w:rPr>
        <w:t xml:space="preserve">Les trois ont écrit des tests, sur les deux bases de code.</w:t>
      </w:r>
    </w:p>
    <w:p>
      <w:pPr>
        <w:pStyle w:val="ListParagraph"/>
        <w:numPr>
          <w:ilvl w:val="0"/>
          <w:numId w:val="2"/>
        </w:numPr>
        <w:spacing w:after="60" w:before="0" w:line="276"/>
      </w:pPr>
      <w:r>
        <w:rPr>
          <w:color w:val="111318"/>
          <w:sz w:val="20"/>
          <w:szCs w:val="20"/>
        </w:rPr>
        <w:t xml:space="preserve">Le couple authentification et RBAC a été travaillé successivement par les trois membres, ce qui est la marque d’une rotation effective plutôt que d’un découpage fixe.</w:t>
      </w:r>
    </w:p>
    <w:p>
      <w:pPr>
        <w:pStyle w:val="Heading2"/>
        <w:spacing w:after="120" w:before="220"/>
      </w:pPr>
      <w:r>
        <w:rPr>
          <w:b/>
          <w:bCs/>
          <w:color w:val="5B2AB5"/>
          <w:sz w:val="24"/>
          <w:szCs w:val="24"/>
        </w:rPr>
        <w:t xml:space="preserve">6.2 Où la règle a cédé</w:t>
      </w:r>
    </w:p>
    <w:p>
      <w:pPr>
        <w:spacing w:after="120" w:before="0" w:line="276"/>
        <w:jc w:val="both"/>
      </w:pPr>
      <w:r>
        <w:rPr>
          <w:color w:val="111318"/>
          <w:sz w:val="20"/>
          <w:szCs w:val="20"/>
        </w:rPr>
        <w:t xml:space="preserve">La polyvalence est réelle sur le code applicatif, et Alexis y porte clairement le client Flutter. Les modules non couverts par les trois membres relèvent surtout de l’industrialisation et de l’exploitation : ils signalent une spécialisation de périmètre, pas une absence de contribution globale.</w:t>
      </w:r>
    </w:p>
    <w:tbl>
      <w:tblPr>
        <w:tblW w:type="dxa" w:w="9751"/>
        <w:tblBorders>
          <w:top w:val="single" w:color="auto" w:sz="4"/>
          <w:left w:val="single" w:color="auto" w:sz="4"/>
          <w:bottom w:val="single" w:color="auto" w:sz="4"/>
          <w:right w:val="single" w:color="auto" w:sz="4"/>
          <w:insideH w:val="single" w:color="auto" w:sz="4"/>
          <w:insideV w:val="single" w:color="auto" w:sz="4"/>
        </w:tblBorders>
      </w:tblPr>
      <w:tblGrid>
        <w:gridCol w:w="3175"/>
        <w:gridCol w:w="850"/>
        <w:gridCol w:w="737"/>
        <w:gridCol w:w="907"/>
        <w:gridCol w:w="4082"/>
      </w:tblGrid>
      <w:tr>
        <w:tc>
          <w:tcPr>
            <w:tcW w:type="dxa" w:w="3175"/>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Module</w:t>
            </w:r>
          </w:p>
        </w:tc>
        <w:tc>
          <w:tcPr>
            <w:tcW w:type="dxa" w:w="850"/>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Youri</w:t>
            </w:r>
          </w:p>
        </w:tc>
        <w:tc>
          <w:tcPr>
            <w:tcW w:type="dxa" w:w="737"/>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Tim</w:t>
            </w:r>
          </w:p>
        </w:tc>
        <w:tc>
          <w:tcPr>
            <w:tcW w:type="dxa" w:w="907"/>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Alexis</w:t>
            </w:r>
          </w:p>
        </w:tc>
        <w:tc>
          <w:tcPr>
            <w:tcW w:type="dxa" w:w="4082"/>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Constat</w:t>
            </w:r>
          </w:p>
        </w:tc>
      </w:tr>
      <w:tr>
        <w:tc>
          <w:tcPr>
            <w:tcW w:type="dxa" w:w="3175"/>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Observabilité — instrumentation</w:t>
            </w:r>
          </w:p>
        </w:tc>
        <w:tc>
          <w:tcPr>
            <w:tcW w:type="dxa" w:w="850"/>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5</w:t>
            </w:r>
          </w:p>
        </w:tc>
        <w:tc>
          <w:tcPr>
            <w:tcW w:type="dxa" w:w="737"/>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7</w:t>
            </w:r>
          </w:p>
        </w:tc>
        <w:tc>
          <w:tcPr>
            <w:tcW w:type="dxa" w:w="907"/>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0</w:t>
            </w:r>
          </w:p>
        </w:tc>
        <w:tc>
          <w:tcPr>
            <w:tcW w:type="dxa" w:w="4082"/>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Pas de commit Alexis ; priorité Flutter</w:t>
            </w:r>
          </w:p>
        </w:tc>
      </w:tr>
      <w:tr>
        <w:tc>
          <w:tcPr>
            <w:tcW w:type="dxa" w:w="3175"/>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Observabilité — dashboards &amp; alertes</w:t>
            </w:r>
          </w:p>
        </w:tc>
        <w:tc>
          <w:tcPr>
            <w:tcW w:type="dxa" w:w="850"/>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5</w:t>
            </w:r>
          </w:p>
        </w:tc>
        <w:tc>
          <w:tcPr>
            <w:tcW w:type="dxa" w:w="737"/>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8</w:t>
            </w:r>
          </w:p>
        </w:tc>
        <w:tc>
          <w:tcPr>
            <w:tcW w:type="dxa" w:w="907"/>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0</w:t>
            </w:r>
          </w:p>
        </w:tc>
        <w:tc>
          <w:tcPr>
            <w:tcW w:type="dxa" w:w="4082"/>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Pas de commit Alexis ; priorité Flutter</w:t>
            </w:r>
          </w:p>
        </w:tc>
      </w:tr>
      <w:tr>
        <w:tc>
          <w:tcPr>
            <w:tcW w:type="dxa" w:w="3175"/>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Configuration 12-Factor</w:t>
            </w:r>
          </w:p>
        </w:tc>
        <w:tc>
          <w:tcPr>
            <w:tcW w:type="dxa" w:w="850"/>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6</w:t>
            </w:r>
          </w:p>
        </w:tc>
        <w:tc>
          <w:tcPr>
            <w:tcW w:type="dxa" w:w="737"/>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8</w:t>
            </w:r>
          </w:p>
        </w:tc>
        <w:tc>
          <w:tcPr>
            <w:tcW w:type="dxa" w:w="907"/>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0</w:t>
            </w:r>
          </w:p>
        </w:tc>
        <w:tc>
          <w:tcPr>
            <w:tcW w:type="dxa" w:w="4082"/>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Pas de commit Alexis ; priorité Flutter</w:t>
            </w:r>
          </w:p>
        </w:tc>
      </w:tr>
      <w:tr>
        <w:tc>
          <w:tcPr>
            <w:tcW w:type="dxa" w:w="3175"/>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Base de données — migrations</w:t>
            </w:r>
          </w:p>
        </w:tc>
        <w:tc>
          <w:tcPr>
            <w:tcW w:type="dxa" w:w="850"/>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6</w:t>
            </w:r>
          </w:p>
        </w:tc>
        <w:tc>
          <w:tcPr>
            <w:tcW w:type="dxa" w:w="737"/>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3</w:t>
            </w:r>
          </w:p>
        </w:tc>
        <w:tc>
          <w:tcPr>
            <w:tcW w:type="dxa" w:w="907"/>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0</w:t>
            </w:r>
          </w:p>
        </w:tc>
        <w:tc>
          <w:tcPr>
            <w:tcW w:type="dxa" w:w="4082"/>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Pas de commit Alexis ; priorité Flutter</w:t>
            </w:r>
          </w:p>
        </w:tc>
      </w:tr>
      <w:tr>
        <w:tc>
          <w:tcPr>
            <w:tcW w:type="dxa" w:w="3175"/>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CI/CD — pipelines</w:t>
            </w:r>
          </w:p>
        </w:tc>
        <w:tc>
          <w:tcPr>
            <w:tcW w:type="dxa" w:w="850"/>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6</w:t>
            </w:r>
          </w:p>
        </w:tc>
        <w:tc>
          <w:tcPr>
            <w:tcW w:type="dxa" w:w="737"/>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20</w:t>
            </w:r>
          </w:p>
        </w:tc>
        <w:tc>
          <w:tcPr>
            <w:tcW w:type="dxa" w:w="907"/>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0</w:t>
            </w:r>
          </w:p>
        </w:tc>
        <w:tc>
          <w:tcPr>
            <w:tcW w:type="dxa" w:w="4082"/>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Pas de commit Alexis ; priorité Flutter</w:t>
            </w:r>
          </w:p>
        </w:tc>
      </w:tr>
      <w:tr>
        <w:tc>
          <w:tcPr>
            <w:tcW w:type="dxa" w:w="3175"/>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Charge, profilage, scripts</w:t>
            </w:r>
          </w:p>
        </w:tc>
        <w:tc>
          <w:tcPr>
            <w:tcW w:type="dxa" w:w="850"/>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0</w:t>
            </w:r>
          </w:p>
        </w:tc>
        <w:tc>
          <w:tcPr>
            <w:tcW w:type="dxa" w:w="737"/>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6</w:t>
            </w:r>
          </w:p>
        </w:tc>
        <w:tc>
          <w:tcPr>
            <w:tcW w:type="dxa" w:w="907"/>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0</w:t>
            </w:r>
          </w:p>
        </w:tc>
        <w:tc>
          <w:tcPr>
            <w:tcW w:type="dxa" w:w="4082"/>
            <w:tcBorders>
              <w:top w:val="single" w:color="C7CBD4" w:sz="3"/>
              <w:left w:val="single" w:color="C7CBD4" w:sz="3"/>
              <w:bottom w:val="single" w:color="C7CBD4" w:sz="3"/>
              <w:right w:val="single" w:color="C7CBD4" w:sz="3"/>
            </w:tcBorders>
            <w:tcMar>
              <w:top w:type="dxa" w:w="60"/>
              <w:left w:type="dxa" w:w="90"/>
              <w:bottom w:type="dxa" w:w="60"/>
              <w:right w:type="dxa" w:w="90"/>
            </w:tcMar>
          </w:tcPr>
          <w:p>
            <w:pPr>
              <w:spacing w:after="0" w:before="0"/>
            </w:pPr>
            <w:r>
              <w:rPr>
                <w:color w:val="111318"/>
                <w:sz w:val="17"/>
                <w:szCs w:val="17"/>
              </w:rPr>
              <w:t xml:space="preserve">Contribution de Tim uniquement</w:t>
            </w:r>
          </w:p>
        </w:tc>
      </w:tr>
      <w:tr>
        <w:tc>
          <w:tcPr>
            <w:tcW w:type="dxa" w:w="3175"/>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Documentation &amp; ADR</w:t>
            </w:r>
          </w:p>
        </w:tc>
        <w:tc>
          <w:tcPr>
            <w:tcW w:type="dxa" w:w="850"/>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8</w:t>
            </w:r>
          </w:p>
        </w:tc>
        <w:tc>
          <w:tcPr>
            <w:tcW w:type="dxa" w:w="737"/>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17</w:t>
            </w:r>
          </w:p>
        </w:tc>
        <w:tc>
          <w:tcPr>
            <w:tcW w:type="dxa" w:w="907"/>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0</w:t>
            </w:r>
          </w:p>
        </w:tc>
        <w:tc>
          <w:tcPr>
            <w:tcW w:type="dxa" w:w="4082"/>
            <w:tcBorders>
              <w:top w:val="single" w:color="C7CBD4" w:sz="3"/>
              <w:left w:val="single" w:color="C7CBD4" w:sz="3"/>
              <w:bottom w:val="single" w:color="C7CBD4" w:sz="3"/>
              <w:right w:val="single" w:color="C7CBD4" w:sz="3"/>
            </w:tcBorders>
            <w:shd w:fill="F6F7F9" w:color="auto" w:val="clear"/>
            <w:tcMar>
              <w:top w:type="dxa" w:w="60"/>
              <w:left w:type="dxa" w:w="90"/>
              <w:bottom w:type="dxa" w:w="60"/>
              <w:right w:type="dxa" w:w="90"/>
            </w:tcMar>
          </w:tcPr>
          <w:p>
            <w:pPr>
              <w:spacing w:after="0" w:before="0"/>
            </w:pPr>
            <w:r>
              <w:rPr>
                <w:color w:val="111318"/>
                <w:sz w:val="17"/>
                <w:szCs w:val="17"/>
              </w:rPr>
              <w:t xml:space="preserve">Pas de commit Alexis ; priorité Flutter</w:t>
            </w:r>
          </w:p>
        </w:tc>
      </w:tr>
    </w:tbl>
    <w:p>
      <w:pPr>
        <w:spacing w:after="140" w:before="0"/>
      </w:pPr>
    </w:p>
    <w:p>
      <w:pPr>
        <w:pBdr>
          <w:left w:val="single" w:color="5B2AB5" w:sz="18" w:space="10"/>
        </w:pBdr>
        <w:shd w:fill="EFEBFA" w:color="auto" w:val="clear"/>
        <w:spacing w:after="160" w:before="160"/>
      </w:pPr>
      <w:r>
        <w:rPr>
          <w:b/>
          <w:bCs/>
          <w:color w:val="111318"/>
          <w:sz w:val="18"/>
          <w:szCs w:val="18"/>
        </w:rPr>
        <w:t xml:space="preserve">Conclusion honnête.</w:t>
      </w:r>
      <w:r>
        <w:rPr>
          <w:color w:val="111318"/>
          <w:sz w:val="18"/>
          <w:szCs w:val="18"/>
        </w:rPr>
        <w:t xml:space="preserve"> La rotation a bien fonctionné sur les couches applicatives, où les trois membres se sont relayés, avec Alexis comme contributeur majoritaire du client Flutter. Elle n’a pas été appliquée aux activités d’industrialisation — pipelines, observabilité, migrations, documentation — restées partagées entre deux membres seulement. Ces écarts traduisent donc surtout une spécialisation des rôles : Alexis a concentré l’essentiel de son apport sur le produit visible et l’expérience mobile/web.</w:t>
      </w:r>
    </w:p>
    <w:p>
      <w:pPr>
        <w:pStyle w:val="Heading1"/>
        <w:spacing w:after="120" w:before="320"/>
      </w:pPr>
      <w:r>
        <w:rPr>
          <w:b/>
          <w:bCs/>
          <w:color w:val="111318"/>
          <w:sz w:val="30"/>
          <w:szCs w:val="30"/>
        </w:rPr>
        <w:t xml:space="preserve">7. Phase de finalisation</w:t>
      </w:r>
    </w:p>
    <w:p>
      <w:pPr>
        <w:spacing w:after="120" w:before="0" w:line="276"/>
        <w:jc w:val="both"/>
      </w:pPr>
      <w:r>
        <w:rPr>
          <w:color w:val="111318"/>
          <w:sz w:val="20"/>
          <w:szCs w:val="20"/>
        </w:rPr>
        <w:t xml:space="preserve">Une phase de finalisation a été menée le 23 août 2026 sur une branche dédiée, après la période collaborative. Elle regroupe </w:t>
      </w:r>
      <w:r>
        <w:rPr>
          <w:b/>
          <w:bCs/>
          <w:color w:val="111318"/>
          <w:sz w:val="20"/>
          <w:szCs w:val="20"/>
        </w:rPr>
        <w:t xml:space="preserve">22 commits</w:t>
      </w:r>
      <w:r>
        <w:rPr>
          <w:color w:val="111318"/>
          <w:sz w:val="20"/>
          <w:szCs w:val="20"/>
        </w:rPr>
        <w:t xml:space="preserve"> portant sur la complétion du cycle de vie d’authentification, la description OpenAPI, les tests de sécurité, l’accessibilité et la mesure de fluidité du rendu.</w:t>
      </w:r>
    </w:p>
    <w:p>
      <w:pPr>
        <w:spacing w:after="120" w:before="0" w:line="276"/>
        <w:jc w:val="both"/>
      </w:pPr>
      <w:r>
        <w:rPr>
          <w:color w:val="111318"/>
          <w:sz w:val="20"/>
          <w:szCs w:val="20"/>
        </w:rPr>
        <w:t xml:space="preserve">Ces commits sont </w:t>
      </w:r>
      <w:r>
        <w:rPr>
          <w:b/>
          <w:bCs/>
          <w:color w:val="111318"/>
          <w:sz w:val="20"/>
          <w:szCs w:val="20"/>
        </w:rPr>
        <w:t xml:space="preserve">exclus des totaux</w:t>
      </w:r>
      <w:r>
        <w:rPr>
          <w:color w:val="111318"/>
          <w:sz w:val="20"/>
          <w:szCs w:val="20"/>
        </w:rPr>
        <w:t xml:space="preserve"> des sections 2 à 6. Les y intégrer aurait augmenté mécaniquement la part d’un seul membre de vingt pour cent sur une période où l’équipe ne travaillait plus conjointement, ce qui aurait faussé la lecture de la répartition.</w:t>
      </w:r>
    </w:p>
    <w:p>
      <w:pPr>
        <w:pStyle w:val="Heading1"/>
        <w:spacing w:after="120" w:before="320"/>
      </w:pPr>
      <w:r>
        <w:rPr>
          <w:b/>
          <w:bCs/>
          <w:color w:val="111318"/>
          <w:sz w:val="30"/>
          <w:szCs w:val="30"/>
        </w:rPr>
        <w:t xml:space="preserve">8. Limites de la méthode</w:t>
      </w:r>
    </w:p>
    <w:p>
      <w:pPr>
        <w:pStyle w:val="ListParagraph"/>
        <w:numPr>
          <w:ilvl w:val="0"/>
          <w:numId w:val="2"/>
        </w:numPr>
        <w:spacing w:after="60" w:before="0" w:line="276"/>
      </w:pPr>
      <w:r>
        <w:rPr>
          <w:b/>
          <w:bCs/>
          <w:color w:val="111318"/>
          <w:sz w:val="20"/>
          <w:szCs w:val="20"/>
        </w:rPr>
        <w:t xml:space="preserve">Le commit ne mesure pas l’effort.</w:t>
      </w:r>
      <w:r>
        <w:rPr>
          <w:color w:val="111318"/>
          <w:sz w:val="20"/>
          <w:szCs w:val="20"/>
        </w:rPr>
        <w:t xml:space="preserve"> Les styles diffèrent : certains membres committent par petites étapes, d’autres par blocs. Une série de corrections de pipeline gonfle un compteur sans traduire un travail proportionnel.</w:t>
      </w:r>
    </w:p>
    <w:p>
      <w:pPr>
        <w:pStyle w:val="ListParagraph"/>
        <w:numPr>
          <w:ilvl w:val="0"/>
          <w:numId w:val="2"/>
        </w:numPr>
        <w:spacing w:after="60" w:before="0" w:line="276"/>
      </w:pPr>
      <w:r>
        <w:rPr>
          <w:b/>
          <w:bCs/>
          <w:color w:val="111318"/>
          <w:sz w:val="20"/>
          <w:szCs w:val="20"/>
        </w:rPr>
        <w:t xml:space="preserve">Le travail non versionné est invisible.</w:t>
      </w:r>
      <w:r>
        <w:rPr>
          <w:color w:val="111318"/>
          <w:sz w:val="20"/>
          <w:szCs w:val="20"/>
        </w:rPr>
        <w:t xml:space="preserve"> Revues de code, séances de conception, débogage en binôme et arbitrages d’architecture ne laissent pas de trace dans l’historique alors qu’ils constituent une part réelle de la contribution.</w:t>
      </w:r>
    </w:p>
    <w:p>
      <w:pPr>
        <w:pStyle w:val="ListParagraph"/>
        <w:numPr>
          <w:ilvl w:val="0"/>
          <w:numId w:val="2"/>
        </w:numPr>
        <w:spacing w:after="60" w:before="0" w:line="276"/>
      </w:pPr>
      <w:r>
        <w:rPr>
          <w:b/>
          <w:bCs/>
          <w:color w:val="111318"/>
          <w:sz w:val="20"/>
          <w:szCs w:val="20"/>
        </w:rPr>
        <w:t xml:space="preserve">La programmation en binôme est mal attribuée.</w:t>
      </w:r>
      <w:r>
        <w:rPr>
          <w:color w:val="111318"/>
          <w:sz w:val="20"/>
          <w:szCs w:val="20"/>
        </w:rPr>
        <w:t xml:space="preserve"> Un commit ne porte qu’un auteur ; un travail à deux est compté pour un seul.</w:t>
      </w:r>
    </w:p>
    <w:p>
      <w:pPr>
        <w:pStyle w:val="ListParagraph"/>
        <w:numPr>
          <w:ilvl w:val="0"/>
          <w:numId w:val="2"/>
        </w:numPr>
        <w:spacing w:after="60" w:before="0" w:line="276"/>
      </w:pPr>
      <w:r>
        <w:rPr>
          <w:b/>
          <w:bCs/>
          <w:color w:val="111318"/>
          <w:sz w:val="20"/>
          <w:szCs w:val="20"/>
        </w:rPr>
        <w:t xml:space="preserve">Le rattachement aux user stories est partiel.</w:t>
      </w:r>
      <w:r>
        <w:rPr>
          <w:color w:val="111318"/>
          <w:sz w:val="20"/>
          <w:szCs w:val="20"/>
        </w:rPr>
        <w:t xml:space="preserve"> Huit user stories seulement sont citées explicitement dans les messages de commit. Les autres rattachements reposent sur la cartographie des fichiers modifiés, plus complète mais indirecte.</w:t>
      </w:r>
    </w:p>
    <w:p>
      <w:pPr>
        <w:pStyle w:val="ListParagraph"/>
        <w:numPr>
          <w:ilvl w:val="0"/>
          <w:numId w:val="2"/>
        </w:numPr>
        <w:spacing w:after="60" w:before="0" w:line="276"/>
      </w:pPr>
      <w:r>
        <w:rPr>
          <w:b/>
          <w:bCs/>
          <w:color w:val="111318"/>
          <w:sz w:val="20"/>
          <w:szCs w:val="20"/>
        </w:rPr>
        <w:t xml:space="preserve">Les modules sont une convention.</w:t>
      </w:r>
      <w:r>
        <w:rPr>
          <w:color w:val="111318"/>
          <w:sz w:val="20"/>
          <w:szCs w:val="20"/>
        </w:rPr>
        <w:t xml:space="preserve"> Le découpage en vingt et un modules a été défini pour cette analyse ; un autre découpage produirait des chiffres légèrement différents.</w:t>
      </w:r>
    </w:p>
    <w:p>
      <w:pPr>
        <w:spacing w:after="120" w:before="0" w:line="264"/>
        <w:jc w:val="both"/>
      </w:pPr>
      <w:r>
        <w:rPr>
          <w:color w:val="4A4F58"/>
          <w:sz w:val="18"/>
          <w:szCs w:val="18"/>
        </w:rPr>
        <w:t xml:space="preserve">Ces réserves ne remettent pas en cause les grandes lignes — qui a travaillé sur quoi, et sur quelle période — qui sont robustes et vérifiables. Elles invitent à ne pas sur-interpréter les écarts de quelques unités entre deux membres sur un même module.</w:t>
      </w:r>
    </w:p>
    <w:sectPr>
      <w:headerReference w:type="default" r:id="rId7"/>
      <w:footerReference w:type="default" r:id="rId8"/>
      <w:pgSz w:w="11906" w:h="16838" w:orient="portrait"/>
      <w:pgMar w:top="1133" w:right="1077" w:bottom="1020" w:left="107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4F5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BD4" w:sz="4" w:space="4"/>
      </w:pBdr>
    </w:pPr>
    <w:r>
      <w:rPr>
        <w:color w:val="4A4F58"/>
        <w:sz w:val="15"/>
        <w:szCs w:val="15"/>
      </w:rPr>
      <w:t xml:space="preserve">StreamPulse — Répartition des tâches</w:t>
    </w:r>
    <w:r>
      <w:rPr>
        <w:sz w:val="15"/>
        <w:szCs w:val="15"/>
      </w:rPr>
      <w:t xml:space="preserve">		</w:t>
    </w:r>
    <w:r>
      <w:rPr>
        <w:color w:val="4A4F58"/>
        <w:sz w:val="15"/>
        <w:szCs w:val="15"/>
      </w:rPr>
      <w:t xml:space="preserve">RNCP 38822 — Bloc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StreamPulse - Repartition des taches</dc:title>
  <dc:creator>Equipe StreamPulse - Youri, Tim, Alexis</dc:creator>
  <dc:description>Contributions individuelles derivees de l'historique Git</dc:description>
  <cp:lastModifiedBy>Un-named</cp:lastModifiedBy>
  <cp:revision>1</cp:revision>
  <dcterms:created xsi:type="dcterms:W3CDTF">2026-08-24T14:38:13.990Z</dcterms:created>
  <dcterms:modified xsi:type="dcterms:W3CDTF">2026-08-24T14:38:13.990Z</dcterms:modified>
</cp:coreProperties>
</file>

<file path=docProps/custom.xml><?xml version="1.0" encoding="utf-8"?>
<Properties xmlns="http://schemas.openxmlformats.org/officeDocument/2006/custom-properties" xmlns:vt="http://schemas.openxmlformats.org/officeDocument/2006/docPropsVTypes"/>
</file>