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Arial" w:cs="Arial" w:eastAsia="Arial" w:hAnsi="Arial"/>
          <w:rtl w:val="0"/>
        </w:rPr>
        <w:t xml:space="preserve">Déploiement Docker Hub vers Render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production StreamPulse utilise exclusivement Render. GitHub Actions construit l’image de l’API Go, la publie sur Docker Hub puis demande à l’API Render de déployer le tag immuable correspondant au SHA Git. Render exécute le conteneur, fournit le reverse proxy public et gère automatiquement HTTPS.</w:t>
      </w:r>
    </w:p>
    <w:p w:rsidR="00000000" w:rsidDel="00000000" w:rsidP="00000000" w:rsidRDefault="00000000" w:rsidRPr="00000000" w14:paraId="00000003">
      <w:pPr>
        <w:pStyle w:val="Heading2"/>
        <w:rPr/>
      </w:pPr>
      <w:r w:rsidDel="00000000" w:rsidR="00000000" w:rsidRPr="00000000">
        <w:rPr>
          <w:rFonts w:ascii="Arial" w:cs="Arial" w:eastAsia="Arial" w:hAnsi="Arial"/>
          <w:rtl w:val="0"/>
        </w:rPr>
        <w:t xml:space="preserve">1. Créer le dépôt Docker Hub</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 dépôt nommé streampulse-api, public ou privé. Créer ensuite un access token Docker Hub avec droit d’écriture ; ne jamais utiliser le mot de passe du compte dans GitHub.</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GitHub, ouvrir Settings &gt; Secrets and variables &gt; Actions.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DOCKERHUB_USERNAME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DOCKERHUB_REPOSITORY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mon-compte/streampulse-api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API_DOMAIN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streampulse-api.onrender.com ou domaine personnalisé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RENDER_SERVICE_ID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identifiant srv-... du Web Service</w:t>
            </w:r>
          </w:p>
        </w:tc>
      </w:tr>
    </w:tb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Secrets :</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DOCKERHUB_TOKEN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Publication de l’image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RENDER_API_KEY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déploiement, lecture du digest et rollback via l’API Render</w:t>
            </w:r>
          </w:p>
        </w:tc>
      </w:tr>
    </w:tbl>
    <w:p w:rsidR="00000000" w:rsidDel="00000000" w:rsidP="00000000" w:rsidRDefault="00000000" w:rsidRPr="00000000" w14:paraId="00000018">
      <w:pPr>
        <w:pStyle w:val="Heading2"/>
        <w:rPr/>
      </w:pPr>
      <w:r w:rsidDel="00000000" w:rsidR="00000000" w:rsidRPr="00000000">
        <w:rPr>
          <w:rFonts w:ascii="Arial" w:cs="Arial" w:eastAsia="Arial" w:hAnsi="Arial"/>
          <w:rtl w:val="0"/>
        </w:rPr>
        <w:t xml:space="preserve">2. Créer le Web Service Render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Render, créer un Web Service à partir d’une image existante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docker.io/mon-compte/streampulse-api:&lt;sha-git&gt;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le dépôt Docker Hub est privé, enregistrer les identifiants du registre dans Render. Configurer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check : /health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auto-deploy Render : désactivé, car GitHub Actions déploie le tag SHA exact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seule instance tant que le Hub audio reste en mémoire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région proche de la base PostgreSQL/Supabase.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pas fixer PORT : Render l’injecte et l’API lit directement cette variable.</w:t>
      </w:r>
    </w:p>
    <w:p w:rsidR="00000000" w:rsidDel="00000000" w:rsidP="00000000" w:rsidRDefault="00000000" w:rsidRPr="00000000" w14:paraId="00000021">
      <w:pPr>
        <w:pStyle w:val="Heading2"/>
        <w:rPr/>
      </w:pPr>
      <w:r w:rsidDel="00000000" w:rsidR="00000000" w:rsidRPr="00000000">
        <w:rPr>
          <w:rFonts w:ascii="Arial" w:cs="Arial" w:eastAsia="Arial" w:hAnsi="Arial"/>
          <w:rtl w:val="0"/>
        </w:rPr>
        <w:t xml:space="preserve">3. Variables et Secret Files Render</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w:t>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APP_ENV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SUPABASE_DB_URL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PostgreSQL avec sslmode=require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CORS_ALLOWED_ORIGINS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origine exacte du frontend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JWT_PRIVATE_KEY_PATH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/etc/secrets/private.pem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JWT_PUBLIC_KEY_PATH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/etc/secrets/public.pem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METRICS_BEARER_TOKEN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aléatoire long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PPROF_ENABLED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STREAM_MAX_DURATION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STREAM_IDLE_TIMEOUT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STREAM_WRITE_TIMEOUT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10s</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 Files :</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Contenu</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private.pem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clé privée JWT RS256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public.pem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clé publique JWT RS256</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clés peuvent être générées localement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openssl genrsa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private.pem 4096</w:t>
        <w:br w:type="textWrapping"/>
        <w:t xml:space="preserve">openssl rsa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private.pem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-pubout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public.pem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jamais committer ces deux fichiers.</w:t>
      </w:r>
    </w:p>
    <w:p w:rsidR="00000000" w:rsidDel="00000000" w:rsidP="00000000" w:rsidRDefault="00000000" w:rsidRPr="00000000" w14:paraId="00000043">
      <w:pPr>
        <w:pStyle w:val="Heading2"/>
        <w:rPr/>
      </w:pPr>
      <w:r w:rsidDel="00000000" w:rsidR="00000000" w:rsidRPr="00000000">
        <w:rPr>
          <w:rFonts w:ascii="Arial" w:cs="Arial" w:eastAsia="Arial" w:hAnsi="Arial"/>
          <w:rtl w:val="0"/>
        </w:rPr>
        <w:t xml:space="preserve">4. Autoriser le déploiement prouvé</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une clé API Render limitée au workspace concerné, l’enregistrer dans le secret GitHub RENDER_API_KEY, puis copier l’identifiant srv-... du service dans la variable GitHub RENDER_SERVICE_ID. La clé est nécessaire pour lire le digest réellement résolu par Render et pour exercer un rollback ; un deploy hook seul ne fournit pas ces preuves.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workflow .github/workflows/deploy.yml suit cet ordre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main</w:t>
        <w:br w:type="textWrapping"/>
        <w:t xml:space="preserve">  -&gt; tests Go/Flutter</w:t>
        <w:br w:type="textWrapping"/>
        <w:t xml:space="preserve">  -&gt; build go/Dockerfile</w:t>
        <w:br w:type="textWrapping"/>
        <w:t xml:space="preserve">  -&gt; push Docker Hub :&lt;SHA Git&gt;</w:t>
        <w:br w:type="textWrapping"/>
        <w:t xml:space="preserve">  -&gt; push Docker Hub :latest</w:t>
        <w:br w:type="textWrapping"/>
        <w:t xml:space="preserve">  -&gt; POST API Render avec docker.io/...:&lt;SHA Git&gt;</w:t>
        <w:br w:type="textWrapping"/>
        <w:t xml:space="preserve">  -&gt; attendre le statut live</w:t>
        <w:br w:type="textWrapping"/>
        <w:t xml:space="preserve">  -&gt; résoudre dans l'index OCI BuildKit le manifeste Linux/amd64 déployable</w:t>
        <w:br w:type="textWrapping"/>
        <w:t xml:space="preserve">  -&gt; comparer ce digest de manifeste au digest résolu par Render</w:t>
        <w:br w:type="textWrapping"/>
        <w:t xml:space="preserve">  -&gt; prouver health, endpoint métier public, redirection HTTP et certificat TLS</w:t>
        <w:br w:type="textWrapping"/>
        <w:t xml:space="preserve">  -&gt; en cas d'échec critique, restaurer et prouver la version live précédente</w:t>
        <w:br w:type="textWrapping"/>
        <w:t xml:space="preserve">  -&gt; prouver Prometheus, Loki et Tempo sans rollback applicatif sur erreur de lecture</w:t>
        <w:br w:type="textWrapping"/>
        <w:t xml:space="preserve">  -&gt; publier l'artefact production-evidence-&lt;SHA Git&gt;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version live et son digest sont mémorisés avant le déploiement. Un échec du statut Render, du digest, de /health, du smoke test GET /api/v1/streams, de la redirection HTTPS ou du certificat déclenche le rollback automatique vers cette version. La restauration est elle-même prouvée et le workflow reste en échec afin de bloquer la livraison. Une erreur de lecture Grafana ne déclenche pas ce rollback : elle invalide la preuve d’observabilité sans conclure que l’application est défectueuse.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Lors du tout premier déploiement, l’API Render ne retourne encore aucune version live. Ce cas n’est pas bloquant : le déploiement continue, mais aucun rollback automatique n’est possible tant qu’une première version saine n’existe pas. Un échec critique est alors signalé explicitement pour intervention manuelle.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job Render dépend du job Docker Hub : l’API Render n’est jamais appelée si les tests, le build ou le push échouent. Les tags v* et les lancements manuels publient l’image, mais seul un push sur main déclenche Render.</w:t>
      </w:r>
    </w:p>
    <w:p w:rsidR="00000000" w:rsidDel="00000000" w:rsidP="00000000" w:rsidRDefault="00000000" w:rsidRPr="00000000" w14:paraId="0000004A">
      <w:pPr>
        <w:pStyle w:val="Heading2"/>
        <w:rPr/>
      </w:pPr>
      <w:r w:rsidDel="00000000" w:rsidR="00000000" w:rsidRPr="00000000">
        <w:rPr>
          <w:rFonts w:ascii="Arial" w:cs="Arial" w:eastAsia="Arial" w:hAnsi="Arial"/>
          <w:rtl w:val="0"/>
        </w:rPr>
        <w:t xml:space="preserve">5. HTTPS et domaine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L’URL onrender.com fournie par Render est disponible en HTTPS. Pour un domaine personnalisé :</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ajouter le domaine dans les paramètres Render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les enregistrements DNS demandés par Render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attendre la validation et l’émission du certificat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à jour CORS_ALLOWED_ORIGINS et API_DOMAIN.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Vérifications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curl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--fail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--show-error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https://streampulse-api.onrender.com/health</w:t>
        <w:br w:type="textWrapping"/>
        <w:t xml:space="preserve">curl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http://streampulse-api.onrender.com/health</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 attendus : /health renvoie 200 en HTTPS et HTTP redirige vers HTTPS.</w:t>
      </w:r>
    </w:p>
    <w:p w:rsidR="00000000" w:rsidDel="00000000" w:rsidP="00000000" w:rsidRDefault="00000000" w:rsidRPr="00000000" w14:paraId="00000053">
      <w:pPr>
        <w:pStyle w:val="Heading2"/>
        <w:rPr/>
      </w:pPr>
      <w:r w:rsidDel="00000000" w:rsidR="00000000" w:rsidRPr="00000000">
        <w:rPr>
          <w:rFonts w:ascii="Arial" w:cs="Arial" w:eastAsia="Arial" w:hAnsi="Arial"/>
          <w:rtl w:val="0"/>
        </w:rPr>
        <w:t xml:space="preserve">6. Vérifier un déploiement</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GitHub Actions :</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release doit réussir ;</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immutable image to Docker Hub doit réussir ;</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and prove Render production doit réussir.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Télécharger l’artefact production-evidence-&lt;sha&gt;. Il contient la réponse Render sanitisée (image.ref et image.sha), le curl --verbose, les en-têtes de redirection, le certificat, sa chaîne et le JSON exact de /health. BuildKit publie un index OCI qui contient le manifeste Linux/amd64 et les attestations SBOM/provenance. Le job résout ce manifeste d’exécution puis échoue si son digest diffère du digest tiré par Render.</w:t>
      </w:r>
    </w:p>
    <w:p w:rsidR="00000000" w:rsidDel="00000000" w:rsidP="00000000" w:rsidRDefault="00000000" w:rsidRPr="00000000" w14:paraId="00000059">
      <w:pPr>
        <w:pStyle w:val="Heading2"/>
        <w:rPr/>
      </w:pPr>
      <w:r w:rsidDel="00000000" w:rsidR="00000000" w:rsidRPr="00000000">
        <w:rPr>
          <w:rFonts w:ascii="Arial" w:cs="Arial" w:eastAsia="Arial" w:hAnsi="Arial"/>
          <w:rtl w:val="0"/>
        </w:rPr>
        <w:t xml:space="preserve">7. Rollback</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version reste disponible sur Docker Hub avec son SHA Git. Le workflow manuel Render rollback proof demande l’identifiant d’un ancien déploiement et la confirmation ROLLBACK_AND_RESTORE. Il :</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mémorise la référence et le digest actuellement actifs ;</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appelle POST /v1/services/{serviceId}/rollback ;</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prouve le digest, le health check et TLS sur la version restaurée ;</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redéploie automatiquement la référence qui était active avant le test ;</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prouve cette restauration et publie les deux jeux d’artefacts.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opération provoque volontairement un changement temporaire de production. La lancer uniquement pendant une fenêtre annoncée et avec un ancien déploiement connu comme sain.</w:t>
      </w:r>
    </w:p>
    <w:p w:rsidR="00000000" w:rsidDel="00000000" w:rsidP="00000000" w:rsidRDefault="00000000" w:rsidRPr="00000000" w14:paraId="00000061">
      <w:pPr>
        <w:pStyle w:val="Heading2"/>
        <w:rPr/>
      </w:pPr>
      <w:r w:rsidDel="00000000" w:rsidR="00000000" w:rsidRPr="00000000">
        <w:rPr>
          <w:rFonts w:ascii="Arial" w:cs="Arial" w:eastAsia="Arial" w:hAnsi="Arial"/>
          <w:rtl w:val="0"/>
        </w:rPr>
        <w:t xml:space="preserve">8. Observabilité et pprof</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Prometheus/Grafana restent disponibles dans la stack Docker locale. En production, le Web Service API envoie directement les métriques et les traces en OTLP vers Grafana Cloud, sans Background Worker Render payant. Les logs partent directement de l’API vers Loki. /metrics reste disponible pour la stack locale. Voir docs/observability-rncp.md.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pprof doit rester désactivé sur Render : les profils peuvent contenir des informations internes et ne doivent pas être rendus publics.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b w:val="1"/>
      <w:bCs w:val="1"/>
      <w:color w:val="0f4761"/>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f4761"/>
      <w:sz w:val="26"/>
      <w:szCs w:val="26"/>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0f4761"/>
      <w:sz w:val="22"/>
      <w:szCs w:val="22"/>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0f4761"/>
      <w:sz w:val="22"/>
      <w:szCs w:val="22"/>
    </w:rPr>
  </w:style>
  <w:style w:type="paragraph" w:styleId="Heading5">
    <w:name w:val="heading 5"/>
    <w:basedOn w:val="Normal"/>
    <w:next w:val="Normal"/>
    <w:pPr>
      <w:keepNext w:val="1"/>
      <w:keepLines w:val="1"/>
      <w:spacing w:after="40" w:before="80" w:lineRule="auto"/>
    </w:pPr>
    <w:rPr>
      <w:rFonts w:ascii="Arial" w:cs="Arial" w:eastAsia="Arial" w:hAnsi="Arial"/>
      <w:color w:val="0f4761"/>
      <w:sz w:val="22"/>
      <w:szCs w:val="22"/>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sz w:val="22"/>
      <w:szCs w:val="22"/>
    </w:rPr>
  </w:style>
  <w:style w:type="paragraph" w:styleId="Title">
    <w:name w:val="Title"/>
    <w:basedOn w:val="Normal"/>
    <w:next w:val="Normal"/>
    <w:pPr>
      <w:spacing w:after="80" w:line="240" w:lineRule="auto"/>
      <w:jc w:val="center"/>
    </w:pPr>
    <w:rPr>
      <w:rFonts w:ascii="Arial" w:cs="Arial" w:eastAsia="Arial" w:hAnsi="Arial"/>
      <w:sz w:val="22"/>
      <w:szCs w:val="22"/>
    </w:rPr>
  </w:style>
  <w:style w:type="paragraph" w:styleId="Subtitle">
    <w:name w:val="Subtitle"/>
    <w:basedOn w:val="Normal"/>
    <w:next w:val="Normal"/>
    <w:pPr>
      <w:spacing w:after="80" w:line="240" w:lineRule="auto"/>
      <w:jc w:val="center"/>
    </w:pPr>
    <w:rPr>
      <w:rFonts w:ascii="Arial" w:cs="Arial" w:eastAsia="Arial" w:hAnsi="Arial"/>
      <w:sz w:val="22"/>
      <w:szCs w:val="22"/>
    </w:rPr>
  </w:style>
  <w:style w:type="table" w:styleId="Table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