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Arial" w:cs="Arial" w:eastAsia="Arial" w:hAnsi="Arial"/>
          <w:rtl w:val="0"/>
        </w:rPr>
        <w:t xml:space="preserve">Charge, pprof, capacité et coûts</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rFonts w:ascii="Arial" w:cs="Arial" w:eastAsia="Arial" w:hAnsi="Arial"/>
          <w:rtl w:val="0"/>
        </w:rPr>
        <w:t xml:space="preserve">Résultat de référence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Mesure effectuée le 31 juillet 2026 avec Go 1.25, Windows amd64, sur un Intel Core i7-7660U 2,50 GHz (4 threads). Commande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test ./internal/infrastructure/streaming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-bench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'^BenchmarkHubBroadcast$'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-benchmem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-benchtime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2s</w:t>
      </w:r>
    </w:p>
    <w:tbl>
      <w:tblPr>
        <w:tblStyle w:val="Table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Temps/chunk 32 Kio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logique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Mémoire/op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Allocations/op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13,774 µs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23,790 MB/s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32,768 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19,213 µs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170,548 MB/s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32,768 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43,718 µs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374,766 MB/s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32,768 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débit est « logique » : Go compte les octets remis aux 500 channels, pas les octets réellement sortis de la carte réseau. La preuve importante est l’allocation constante : un seul clone immuable de 32 Kio par chunk, et non un clone par auditeur. Le réseau/TLS doit être validé séparément par le scénario k6 documenté dans go/loadtest/README.md.</w:t>
      </w:r>
    </w:p>
    <w:p w:rsidR="00000000" w:rsidDel="00000000" w:rsidP="00000000" w:rsidRDefault="00000000" w:rsidRPr="00000000" w14:paraId="0000001A">
      <w:pPr>
        <w:pStyle w:val="Heading2"/>
        <w:rPr/>
      </w:pPr>
      <w:r w:rsidDel="00000000" w:rsidR="00000000" w:rsidRPr="00000000">
        <w:rPr>
          <w:rFonts w:ascii="Arial" w:cs="Arial" w:eastAsia="Arial" w:hAnsi="Arial"/>
          <w:rtl w:val="0"/>
        </w:rPr>
        <w:t xml:space="preserve">Budget réseau</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un encodage constant à 128 kbit/s :</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Auditeurs simultanés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Sortie requise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Données pour 1 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Données si 24/7 pendant 30 j</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 Mbit/s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576 Mo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0,415 To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 Mbit/s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5,76 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To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28,8 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20,74 To</w:t>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Formules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débit_sortie_bit_s = bitrate_audio_bit_s × auditeurs</w:t>
        <w:br w:type="textWrapping"/>
        <w:t xml:space="preserve">volume_octets = débit_sortie_bit_s ÷ 8 × durée_secondes</w:t>
        <w:br w:type="textWrapping"/>
        <w:t xml:space="preserve">auditeurs_max = bande_passante_utile_bit_s ÷ bitrate_audio_bit_s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marge de 30 % est réservée au TLS, aux retransmissions et aux autres services. Avec une interface à 200 Mbit/s, le budget utile est donc 140 Mbit/s, soit environ 1 093 auditeurs à 128 kbit/s ou 546 à 256 kbit/s. Cette limite réseau arrive bien avant la limite du fan-out en mémoire mesurée ci-dessus.</w:t>
      </w:r>
    </w:p>
    <w:p w:rsidR="00000000" w:rsidDel="00000000" w:rsidP="00000000" w:rsidRDefault="00000000" w:rsidRPr="00000000" w14:paraId="0000002F">
      <w:pPr>
        <w:pStyle w:val="Heading2"/>
        <w:rPr/>
      </w:pPr>
      <w:r w:rsidDel="00000000" w:rsidR="00000000" w:rsidRPr="00000000">
        <w:rPr>
          <w:rFonts w:ascii="Arial" w:cs="Arial" w:eastAsia="Arial" w:hAnsi="Arial"/>
          <w:rtl w:val="0"/>
        </w:rPr>
        <w:t xml:space="preserve">Comparatif de coût self-hosted</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 indicatif en région Paris, prix publics consultés le 31 juillet 2026, hors taxes :</w:t>
      </w:r>
    </w:p>
    <w:tbl>
      <w:tblPr>
        <w:tblStyle w:val="Table3"/>
        <w:tblW w:w="7920.0" w:type="dxa"/>
        <w:jc w:val="left"/>
        <w:tblInd w:w="-108.0" w:type="dxa"/>
        <w:tblLayout w:type="fixed"/>
        <w:tblLook w:val="0020"/>
      </w:tblPr>
      <w:tblGrid>
        <w:gridCol w:w="2376"/>
        <w:gridCol w:w="2376"/>
        <w:gridCol w:w="3168"/>
        <w:tblGridChange w:id="0">
          <w:tblGrid>
            <w:gridCol w:w="2376"/>
            <w:gridCol w:w="2376"/>
            <w:gridCol w:w="3168"/>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Hypothèse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Coût mensuel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Scaleway BASIC2-A2C-4G, 2 vCPU, 4 Gio, 200 Mbit/s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16,79 €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IPv4 flexible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0,004 €/h × 730 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Storage 5K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Gio × 0,000130 €/Gio/h × 730 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3,80 €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API/Prometheus/Grafana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Conteneurs sur la même VM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 compute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 Instance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 dans le prix Instance selon la grille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infrastructure applicative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hors BDD/Supabase, sauvegardes et TVA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23,51 €</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 officielles : tarifs Instances Scaleway et tarifs Block Storage Scaleway. Les tarifs changent : revalider le devis dans la console avant une soutenance ou une mise en production.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tableau reste un comparatif de capacité et non l’architecture actuellement déployée : la production utilise Render. Son coût réel doit être relevé dans le dashboard et sur la grille officielle Render, en ajoutant notamment le volume sortant calculé ci-dessus. À 500 auditeurs permanents en 128 kbit/s, les 20,74 To/mois rendent le coût de bande passante déterminant.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self-hosted, le coût marginal n’est pas proportionnel aux auditeurs tant que la bande passante de l’Instance est incluse et reste sous 200 Mbit/s. Au-delà, il faut monter de gamme, répartir les streams ou placer la diffusion derrière un service média/CDN ; recalculer alors le coût d’egress réel.</w:t>
      </w:r>
    </w:p>
    <w:p w:rsidR="00000000" w:rsidDel="00000000" w:rsidP="00000000" w:rsidRDefault="00000000" w:rsidRPr="00000000" w14:paraId="00000049">
      <w:pPr>
        <w:pStyle w:val="Heading2"/>
        <w:rPr/>
      </w:pPr>
      <w:r w:rsidDel="00000000" w:rsidR="00000000" w:rsidRPr="00000000">
        <w:rPr>
          <w:rFonts w:ascii="Arial" w:cs="Arial" w:eastAsia="Arial" w:hAnsi="Arial"/>
          <w:rtl w:val="0"/>
        </w:rPr>
        <w:t xml:space="preserve">Protocole de preuve k6 + pprof</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chaque palier 10/100/500 :</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démarrer une source ffmpeg -re à bitrate connu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lancer go/loadtest/run-tier.ps1 pendant au moins 60 s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capturer 30 s de pprof sur une instance locale ou de staging privée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échantillonner /metrics et conserver la sortie k6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arrêter la source et attendre STREAM_IDLE_TIMEOUT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vérifier le retour des gauges auditeurs/publisher à zéro et l’absence de goroutines résiduelles.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profils ne sont pas committés. Render ne rend pas le port pprof loopback accessible : CPU, RSS, drops et goroutines de production proviennent donc de Prometheus/Grafana, tandis que les profils pprof sont capturés sur le même binaire dans une instance locale ou de staging privée. Ne jamais présenter un profil local comme un profil du processus Render.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réelle le 9 août 2026 sur le binaire Go instrumenté local, Windows amd64, Go 1.26.1, k6 2.1.0. Les connexions ont été établies sur 10 secondes, le flux source a duré 60 secondes, le profil CPU 30 secondes et la période de repos 35 secondes. La source visait 128 kbit/s et a effectivement livré entre 127,66 et 129,66 kbit/s selon le palier. Le p95 HTTP correspond à la durée volontaire d’une connexion audio longue, pas à une latence de requête classique.</w:t>
      </w:r>
    </w:p>
    <w:tbl>
      <w:tblPr>
        <w:tblStyle w:val="Table4"/>
        <w:tblW w:w="7910.999999999999" w:type="dxa"/>
        <w:jc w:val="left"/>
        <w:tblInd w:w="-108.0" w:type="dxa"/>
        <w:tblLayout w:type="fixed"/>
        <w:tblLook w:val="0020"/>
      </w:tblPr>
      <w:tblGrid>
        <w:gridCol w:w="879"/>
        <w:gridCol w:w="879"/>
        <w:gridCol w:w="879"/>
        <w:gridCol w:w="879"/>
        <w:gridCol w:w="879"/>
        <w:gridCol w:w="879"/>
        <w:gridCol w:w="879"/>
        <w:gridCol w:w="879"/>
        <w:gridCol w:w="879"/>
        <w:tblGridChange w:id="0">
          <w:tblGrid>
            <w:gridCol w:w="879"/>
            <w:gridCol w:w="879"/>
            <w:gridCol w:w="879"/>
            <w:gridCol w:w="879"/>
            <w:gridCol w:w="879"/>
            <w:gridCol w:w="879"/>
            <w:gridCol w:w="879"/>
            <w:gridCol w:w="879"/>
            <w:gridCol w:w="879"/>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 p95 (% d’un cœur)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RSS max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Checks k6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Requêtes échouées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Durée HTTP p95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Goroutines après repos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127,66 kbit/s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35,47 Mio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83,282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128,73 kbit/s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10,08 %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42,75 Mio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84,036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129,66 kbit/s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27,23 %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74,31 Mio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83,703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trois paliers satisfont les seuils. Les résultats détaillés sont dans go/loadtest/results/summary.md et les rapports pprof versionnables suivent le format go/loadtest/results/tier-{10,100,500}-{cpu,heap}-top.txt. Les profils bruts .pb.gz restent volontairement ignorés par Git. Cette mesure est une preuve locale reproductible du même binaire ; elle ne constitue ni une mesure TLS ni une mesure de l’instance Render.</w:t>
      </w:r>
    </w:p>
    <w:p w:rsidR="00000000" w:rsidDel="00000000" w:rsidP="00000000" w:rsidRDefault="00000000" w:rsidRPr="00000000" w14:paraId="00000078">
      <w:pPr>
        <w:pStyle w:val="Heading2"/>
        <w:rPr/>
      </w:pPr>
      <w:r w:rsidDel="00000000" w:rsidR="00000000" w:rsidRPr="00000000">
        <w:rPr>
          <w:rFonts w:ascii="Arial" w:cs="Arial" w:eastAsia="Arial" w:hAnsi="Arial"/>
          <w:rtl w:val="0"/>
        </w:rPr>
        <w:t xml:space="preserve">Seuils de décision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drops audio &gt; 1 % pendant 2 min : incident, vérifier clients lents et CPU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bande passante &gt; 70 % soutenue : augmenter la capacité avant le palier suivant ;</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heap ou goroutines ne revenant pas au niveau de repos : suspicion de fuite ;</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 &gt; 70 % soutenu : profiler avant de scaler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seconde réplique n’est pas sûre sans routage par stream_id, car le Hub n’est pas distribué.</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b w:val="1"/>
      <w:bCs w:val="1"/>
      <w:color w:val="0f4761"/>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0f4761"/>
      <w:sz w:val="26"/>
      <w:szCs w:val="26"/>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0f4761"/>
      <w:sz w:val="22"/>
      <w:szCs w:val="22"/>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0f4761"/>
      <w:sz w:val="22"/>
      <w:szCs w:val="22"/>
    </w:rPr>
  </w:style>
  <w:style w:type="paragraph" w:styleId="Heading5">
    <w:name w:val="heading 5"/>
    <w:basedOn w:val="Normal"/>
    <w:next w:val="Normal"/>
    <w:pPr>
      <w:keepNext w:val="1"/>
      <w:keepLines w:val="1"/>
      <w:spacing w:after="40" w:before="80" w:lineRule="auto"/>
    </w:pPr>
    <w:rPr>
      <w:rFonts w:ascii="Arial" w:cs="Arial" w:eastAsia="Arial" w:hAnsi="Arial"/>
      <w:color w:val="0f4761"/>
      <w:sz w:val="22"/>
      <w:szCs w:val="22"/>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sz w:val="22"/>
      <w:szCs w:val="22"/>
    </w:rPr>
  </w:style>
  <w:style w:type="paragraph" w:styleId="Title">
    <w:name w:val="Title"/>
    <w:basedOn w:val="Normal"/>
    <w:next w:val="Normal"/>
    <w:pPr>
      <w:spacing w:after="80" w:line="240" w:lineRule="auto"/>
      <w:jc w:val="center"/>
    </w:pPr>
    <w:rPr>
      <w:rFonts w:ascii="Arial" w:cs="Arial" w:eastAsia="Arial" w:hAnsi="Arial"/>
      <w:sz w:val="22"/>
      <w:szCs w:val="22"/>
    </w:rPr>
  </w:style>
  <w:style w:type="paragraph" w:styleId="Subtitle">
    <w:name w:val="Subtitle"/>
    <w:basedOn w:val="Normal"/>
    <w:next w:val="Normal"/>
    <w:pPr>
      <w:spacing w:after="80" w:line="240" w:lineRule="auto"/>
      <w:jc w:val="center"/>
    </w:pPr>
    <w:rPr>
      <w:rFonts w:ascii="Arial" w:cs="Arial" w:eastAsia="Arial" w:hAnsi="Arial"/>
      <w:sz w:val="22"/>
      <w:szCs w:val="22"/>
    </w:rPr>
  </w:style>
  <w:style w:type="table" w:styleId="Table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