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 descr="智能仓库货架、作业人员与移动搬运机器人构成的以安WMS主视觉" title="智能仓库货架、作业人员与移动搬运机器人构成的以安WMS主视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以安WMS-智能仓储主视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iragino Sans GB" w:hAnsi="Hiragino Sans GB" w:eastAsia="Hiragino Sans GB" w:cs="Hiragino Sans GB"/>
          <w:i/>
          <w:color w:val="667085"/>
          <w:sz w:val="18"/>
        </w:rPr>
        <w:t>技术主视觉：仓储作业、库存载体与数字系统协同</w:t>
      </w:r>
    </w:p>
    <w:p>
      <w:pPr>
        <w:spacing w:before="200" w:after="80"/>
      </w:pPr>
      <w:r>
        <w:rPr>
          <w:rFonts w:ascii="Hiragino Sans GB" w:hAnsi="Hiragino Sans GB" w:eastAsia="Hiragino Sans GB" w:cs="Hiragino Sans GB"/>
          <w:b/>
          <w:color w:val="155EEF"/>
          <w:sz w:val="18"/>
        </w:rPr>
        <w:t>TECHNICAL DEFENSE · INTERNAL</w:t>
      </w:r>
    </w:p>
    <w:p>
      <w:pPr>
        <w:pStyle w:val="Title"/>
      </w:pPr>
      <w:r>
        <w:rPr>
          <w:rFonts w:ascii="Hiragino Sans GB" w:hAnsi="Hiragino Sans GB" w:eastAsia="Hiragino Sans GB" w:cs="Hiragino Sans GB"/>
          <w:b/>
          <w:color w:val="0B2545"/>
          <w:sz w:val="54"/>
        </w:rPr>
        <w:t>以安WMS</w:t>
      </w:r>
    </w:p>
    <w:p>
      <w:pPr>
        <w:pStyle w:val="Subtitle"/>
      </w:pPr>
      <w:r>
        <w:rPr>
          <w:rFonts w:ascii="Hiragino Sans GB" w:hAnsi="Hiragino Sans GB" w:eastAsia="Hiragino Sans GB" w:cs="Hiragino Sans GB"/>
          <w:color w:val="475467"/>
          <w:sz w:val="26"/>
        </w:rPr>
        <w:t>技术架构与核心业务闭环答辩文档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color w:val="101828"/>
          <w:sz w:val="20"/>
        </w:rPr>
        <w:t>文档定位：</w:t>
      </w:r>
      <w:r>
        <w:rPr>
          <w:rFonts w:ascii="Hiragino Sans GB" w:hAnsi="Hiragino Sans GB" w:eastAsia="Hiragino Sans GB" w:cs="Hiragino Sans GB"/>
          <w:color w:val="344054"/>
          <w:sz w:val="20"/>
        </w:rPr>
        <w:t>内部技术答辩 / 架构评审 / 演示验收依据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color w:val="101828"/>
          <w:sz w:val="20"/>
        </w:rPr>
        <w:t>验证基线：</w:t>
      </w:r>
      <w:r>
        <w:rPr>
          <w:rFonts w:ascii="Hiragino Sans GB" w:hAnsi="Hiragino Sans GB" w:eastAsia="Hiragino Sans GB" w:cs="Hiragino Sans GB"/>
          <w:color w:val="344054"/>
          <w:sz w:val="20"/>
        </w:rPr>
        <w:t>Git 9be0afd · 2026-08-13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color w:val="101828"/>
          <w:sz w:val="20"/>
        </w:rPr>
        <w:t>系统版本：</w:t>
      </w:r>
      <w:r>
        <w:rPr>
          <w:rFonts w:ascii="Hiragino Sans GB" w:hAnsi="Hiragino Sans GB" w:eastAsia="Hiragino Sans GB" w:cs="Hiragino Sans GB"/>
          <w:color w:val="344054"/>
          <w:sz w:val="20"/>
        </w:rPr>
        <w:t>以安WMS 核心功能扩展版 1.1 · 演示完备范围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color w:val="101828"/>
          <w:sz w:val="20"/>
        </w:rPr>
        <w:t>核心结论：</w:t>
      </w:r>
      <w:r>
        <w:rPr>
          <w:rFonts w:ascii="Hiragino Sans GB" w:hAnsi="Hiragino Sans GB" w:eastAsia="Hiragino Sans GB" w:cs="Hiragino Sans GB"/>
          <w:color w:val="344054"/>
          <w:sz w:val="20"/>
        </w:rPr>
        <w:t>主数据—入库—库存—调拨/盘点—出库—流水—看板已闭环</w:t>
      </w:r>
    </w:p>
    <w:p>
      <w:pPr>
        <w:pBdr>
          <w:bottom w:val="single" w:sz="16" w:space="6" w:color="155EEF"/>
        </w:pBdr>
      </w:pPr>
    </w:p>
    <w:p>
      <w:pPr>
        <w:spacing w:before="120" w:after="160"/>
        <w:ind w:left="180" w:right="180"/>
        <w:shd w:fill="EFF8FF" w:val="clear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 xml:space="preserve">答辩口径  </w:t>
      </w:r>
      <w:r>
        <w:rPr>
          <w:rFonts w:ascii="Hiragino Sans GB" w:hAnsi="Hiragino Sans GB" w:eastAsia="Hiragino Sans GB" w:cs="Hiragino Sans GB"/>
          <w:color w:val="344054"/>
          <w:sz w:val="21"/>
        </w:rPr>
        <w:t>本文把“已实现且可验证”的能力与“企业级规划能力”严格分开；所有数字均来自代码、SQL、测试报告或部署验收脚本。</w:t>
      </w:r>
    </w:p>
    <w:p>
      <w:pPr>
        <w:pStyle w:val="Heading1"/>
        <w:keepNext/>
        <w:keepLines/>
        <w:pageBreakBefore/>
      </w:pPr>
      <w:r>
        <w:t>答辩摘要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项目结论：以安WMS 已形成可在单机测试环境持续演示的仓储核心闭环。系统不是只展示页面，而是以事务、行锁、条件更新、库存流水和部署烟测共同约束业务结果。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启用仓库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库存总量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今日入库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今日出库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2 / 3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916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75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27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一页式结论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4830"/>
        <w:gridCol w:w="3230"/>
      </w:tblGrid>
      <w:tr>
        <w:trPr>
          <w:tblHeader/>
          <w:cantSplit/>
        </w:trPr>
        <w:tc>
          <w:tcPr>
            <w:tcW w:type="dxa" w:w="13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83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可答辩结论</w:t>
            </w:r>
          </w:p>
        </w:tc>
        <w:tc>
          <w:tcPr>
            <w:tcW w:type="dxa" w:w="323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证据锚点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</w:t>
            </w:r>
          </w:p>
        </w:tc>
        <w:tc>
          <w:tcPr>
            <w:tcW w:type="dxa" w:w="48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入库、出库、直接调拨、直接盘点均驱动实时库存与流水</w:t>
            </w:r>
          </w:p>
        </w:tc>
        <w:tc>
          <w:tcPr>
            <w:tcW w:type="dxa" w:w="32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 张 WMS 表；34 条演示流水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一致性</w:t>
            </w:r>
          </w:p>
        </w:tc>
        <w:tc>
          <w:tcPr>
            <w:tcW w:type="dxa" w:w="48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关键写操作置于事务内，容量写入统一按库位序列化</w:t>
            </w:r>
          </w:p>
        </w:tc>
        <w:tc>
          <w:tcPr>
            <w:tcW w:type="dxa" w:w="32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READ_COMMITTED + FOR UPDATE + 条件扣减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安全</w:t>
            </w:r>
          </w:p>
        </w:tc>
        <w:tc>
          <w:tcPr>
            <w:tcW w:type="dxa" w:w="48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 接口逐映射授权，数据库监控使用短期会话</w:t>
            </w:r>
          </w:p>
        </w:tc>
        <w:tc>
          <w:tcPr>
            <w:tcW w:type="dxa" w:w="32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8 Controller / 55 映射 / 55 权限注解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质量</w:t>
            </w:r>
          </w:p>
        </w:tc>
        <w:tc>
          <w:tcPr>
            <w:tcW w:type="dxa" w:w="48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核心服务与导出契约自动化验证通过</w:t>
            </w:r>
          </w:p>
        </w:tc>
        <w:tc>
          <w:tcPr>
            <w:tcW w:type="dxa" w:w="32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27 / 27 测试，0 失败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发布</w:t>
            </w:r>
          </w:p>
        </w:tc>
        <w:tc>
          <w:tcPr>
            <w:tcW w:type="dxa" w:w="48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提交、构建、迁移、备份、切换、烟测形成脚本化链路</w:t>
            </w:r>
          </w:p>
        </w:tc>
        <w:tc>
          <w:tcPr>
            <w:tcW w:type="dxa" w:w="32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Git 指纹 + SQL 指纹 + 9 类 Excel 验收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建议结论  </w:t>
      </w:r>
      <w:r>
        <w:rPr>
          <w:rFonts w:ascii="Hiragino Sans GB" w:hAnsi="Hiragino Sans GB" w:eastAsia="Hiragino Sans GB" w:cs="Hiragino Sans GB"/>
          <w:color w:val="344054"/>
          <w:sz w:val="21"/>
        </w:rPr>
        <w:t>当前版本适合内部答辩、客户概念验证与小规模试用；在进入生产采购前，应优先补齐正式调拨/盘点单、库存预占、仓级数据权限与高可用部署。</w:t>
      </w:r>
    </w:p>
    <w:p>
      <w:pPr>
        <w:pStyle w:val="Heading2"/>
        <w:keepNext/>
        <w:keepLines/>
      </w:pPr>
      <w:r>
        <w:t>目录与答辩路径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4960"/>
      </w:tblGrid>
      <w:tr>
        <w:trPr>
          <w:tblHeader/>
          <w:cantSplit/>
        </w:trPr>
        <w:tc>
          <w:tcPr>
            <w:tcW w:type="dxa" w:w="11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章</w:t>
            </w:r>
          </w:p>
        </w:tc>
        <w:tc>
          <w:tcPr>
            <w:tcW w:type="dxa" w:w="33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49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现场回答的问题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01–02</w:t>
            </w:r>
          </w:p>
        </w:tc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结论、范围与功能地图</w:t>
            </w:r>
          </w:p>
        </w:tc>
        <w:tc>
          <w:tcPr>
            <w:tcW w:type="dxa" w:w="4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做成了什么？哪些尚未做？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03–04</w:t>
            </w:r>
          </w:p>
        </w:tc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技术架构与数据模型</w:t>
            </w:r>
          </w:p>
        </w:tc>
        <w:tc>
          <w:tcPr>
            <w:tcW w:type="dxa" w:w="4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系统如何分层？库存如何唯一标识？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05–08</w:t>
            </w:r>
          </w:p>
        </w:tc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四类核心业务闭环</w:t>
            </w:r>
          </w:p>
        </w:tc>
        <w:tc>
          <w:tcPr>
            <w:tcW w:type="dxa" w:w="4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库存为什么可信？失败如何回滚？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09–11</w:t>
            </w:r>
          </w:p>
        </w:tc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并发、安全、看板与演示数据</w:t>
            </w:r>
          </w:p>
        </w:tc>
        <w:tc>
          <w:tcPr>
            <w:tcW w:type="dxa" w:w="4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如何避免超卖、越权和空演示？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12–14</w:t>
            </w:r>
          </w:p>
        </w:tc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测试、部署、限制与路线图</w:t>
            </w:r>
          </w:p>
        </w:tc>
        <w:tc>
          <w:tcPr>
            <w:tcW w:type="dxa" w:w="4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如何验收？怎样演进到生产？</w:t>
            </w:r>
          </w:p>
        </w:tc>
      </w:tr>
    </w:tbl>
    <w:p>
      <w:pPr>
        <w:spacing w:before="0" w:after="40"/>
      </w:pPr>
    </w:p>
    <w:p>
      <w:pPr>
        <w:pStyle w:val="Heading1"/>
        <w:keepNext/>
        <w:keepLines/>
        <w:pageBreakBefore/>
      </w:pPr>
      <w:r>
        <w:t>01 项目结论：可演示、可追溯、可继续演进</w:t>
      </w:r>
    </w:p>
    <w:p>
      <w:pPr>
        <w:pStyle w:val="Heading2"/>
        <w:keepNext/>
        <w:keepLines/>
      </w:pPr>
      <w:r>
        <w:t>1.1 当前完成度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仓库—库区—库位三级主数据完整，物料支持编码、条码、规格、单位与安全库存。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入库单和出库单支持草稿、完成、取消、删除约束与 Excel 导出；完成动作才写库存。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库存按仓库、库位、物料、批次四维管理，展示数量、锁定量、可用量、生产/失效日期。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直接调拨生成 TRANSFER_OUT / TRANSFER_IN 成对流水；直接盘点按差异生成 ADJUST_IN / ADJUST_OUT。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运营看板提供摘要、最近流水、近 7 日趋势、仓库库存分布与低库存钻取。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用户、角色、菜单、字典、日志、缓存、服务、定时任务、数据监控等平台能力可复用。</w:t>
      </w:r>
    </w:p>
    <w:p>
      <w:pPr>
        <w:pStyle w:val="Heading2"/>
        <w:keepNext/>
        <w:keepLines/>
      </w:pPr>
      <w:r>
        <w:t>1.2 完成不等于夸大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本答辩中的“闭环”特指当前产品范围内，业务命令能够一致地更新库存余额、记录可追溯流水，并被自动化测试和部署烟测覆盖。它不等同于完整的制造业或零售业 WMS 产品族。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/>
          <w:cantSplit/>
        </w:trPr>
        <w:tc>
          <w:tcPr>
            <w:tcW w:type="dxa" w:w="33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已实现</w:t>
            </w:r>
          </w:p>
        </w:tc>
        <w:tc>
          <w:tcPr>
            <w:tcW w:type="dxa" w:w="60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当前边界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直接调拨、直接盘点</w:t>
            </w:r>
          </w:p>
        </w:tc>
        <w:tc>
          <w:tcPr>
            <w:tcW w:type="dxa" w:w="60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尚无正式单据、审批流、复核/过账阶段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locked_quantity 数据模型</w:t>
            </w:r>
          </w:p>
        </w:tc>
        <w:tc>
          <w:tcPr>
            <w:tcW w:type="dxa" w:w="60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尚无预占、释放、波次分配业务流程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安全库存下限预警</w:t>
            </w:r>
          </w:p>
        </w:tc>
        <w:tc>
          <w:tcPr>
            <w:tcW w:type="dxa" w:w="60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最大库存为参考字段，未做上限预警/强制阻断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供应商/客户文本</w:t>
            </w:r>
          </w:p>
        </w:tc>
        <w:tc>
          <w:tcPr>
            <w:tcW w:type="dxa" w:w="60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尚无独立主数据与采购单/销售单集成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单机测试部署</w:t>
            </w:r>
          </w:p>
        </w:tc>
        <w:tc>
          <w:tcPr>
            <w:tcW w:type="dxa" w:w="60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尚非高可用、零停机、生产 SLA 架构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ECFDF3" w:val="clear"/>
      </w:pPr>
      <w:r>
        <w:rPr>
          <w:rFonts w:ascii="Hiragino Sans GB" w:hAnsi="Hiragino Sans GB" w:eastAsia="Hiragino Sans GB" w:cs="Hiragino Sans GB"/>
          <w:b/>
          <w:color w:val="067647"/>
          <w:sz w:val="21"/>
        </w:rPr>
        <w:t xml:space="preserve">答辩主张  </w:t>
      </w:r>
      <w:r>
        <w:rPr>
          <w:rFonts w:ascii="Hiragino Sans GB" w:hAnsi="Hiragino Sans GB" w:eastAsia="Hiragino Sans GB" w:cs="Hiragino Sans GB"/>
          <w:color w:val="344054"/>
          <w:sz w:val="21"/>
        </w:rPr>
        <w:t>可信边界比功能口号更重要：现版本的价值在于把核心库存变化做成可执行、可回滚、可解释的最小完整系统。</w:t>
      </w:r>
    </w:p>
    <w:p>
      <w:pPr>
        <w:pStyle w:val="Heading1"/>
        <w:keepNext/>
        <w:keepLines/>
        <w:pageBreakBefore/>
      </w:pPr>
      <w:r>
        <w:t>02 范围与功能地图</w:t>
      </w:r>
    </w:p>
    <w:p>
      <w:pPr>
        <w:pStyle w:val="Heading2"/>
        <w:keepNext/>
        <w:keepLines/>
      </w:pPr>
      <w:r>
        <w:t>2.1 业务能力地图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180"/>
        <w:gridCol w:w="3480"/>
      </w:tblGrid>
      <w:tr>
        <w:trPr>
          <w:tblHeader/>
          <w:cantSplit/>
        </w:trPr>
        <w:tc>
          <w:tcPr>
            <w:tcW w:type="dxa" w:w="17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能力域</w:t>
            </w:r>
          </w:p>
        </w:tc>
        <w:tc>
          <w:tcPr>
            <w:tcW w:type="dxa" w:w="418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主要功能</w:t>
            </w:r>
          </w:p>
        </w:tc>
        <w:tc>
          <w:tcPr>
            <w:tcW w:type="dxa" w:w="348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关键控制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基础资料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仓库、库区、库位、物料增删改查与导出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编码唯一、引用保护、启停约束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入库管理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采购/退货/其他入库，明细与批次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区域策略、容量、草稿锁、完成幂等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库存中心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实时库存、低库存、流水、调拨、盘点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可用量、锁顺序、成对流水、原因必填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出库管理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销售/退货/其他出库，明细与批次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条件扣减、防超卖、销售过期阻断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运营分析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摘要、趋势、仓库分布、最近流水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仅统计启用主数据；下钻携带仓库+物料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平台治理</w:t>
            </w:r>
          </w:p>
        </w:tc>
        <w:tc>
          <w:tcPr>
            <w:tcW w:type="dxa" w:w="41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RBAC、日志、任务、缓存、Druid、代码生成</w:t>
            </w:r>
          </w:p>
        </w:tc>
        <w:tc>
          <w:tcPr>
            <w:tcW w:type="dxa" w:w="348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JWT、动作权限、短期监控会话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2.2 库区/库位作业策略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800"/>
        <w:gridCol w:w="2960"/>
      </w:tblGrid>
      <w:tr>
        <w:trPr>
          <w:tblHeader/>
          <w:cantSplit/>
        </w:trPr>
        <w:tc>
          <w:tcPr>
            <w:tcW w:type="dxa" w:w="16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作业</w:t>
            </w:r>
          </w:p>
        </w:tc>
        <w:tc>
          <w:tcPr>
            <w:tcW w:type="dxa" w:w="48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允许库区</w:t>
            </w:r>
          </w:p>
        </w:tc>
        <w:tc>
          <w:tcPr>
            <w:tcW w:type="dxa" w:w="29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入库</w:t>
            </w:r>
          </w:p>
        </w:tc>
        <w:tc>
          <w:tcPr>
            <w:tcW w:type="dxa" w:w="48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RECEIVING / STORAGE / RETURN</w:t>
            </w:r>
          </w:p>
        </w:tc>
        <w:tc>
          <w:tcPr>
            <w:tcW w:type="dxa" w:w="2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停用仓/区/位；DEFECTIVE 库位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出库</w:t>
            </w:r>
          </w:p>
        </w:tc>
        <w:tc>
          <w:tcPr>
            <w:tcW w:type="dxa" w:w="48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STORAGE / PICKING / SHIPPING / RETURN</w:t>
            </w:r>
          </w:p>
        </w:tc>
        <w:tc>
          <w:tcPr>
            <w:tcW w:type="dxa" w:w="2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停用仓/区/位；DEFECTIVE 库位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直接调拨</w:t>
            </w:r>
          </w:p>
        </w:tc>
        <w:tc>
          <w:tcPr>
            <w:tcW w:type="dxa" w:w="48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启用且非 DEFECTIVE 的目标/来源库位</w:t>
            </w:r>
          </w:p>
        </w:tc>
        <w:tc>
          <w:tcPr>
            <w:tcW w:type="dxa" w:w="2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同库位调拨；不良品库位直接流转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直接盘点</w:t>
            </w:r>
          </w:p>
        </w:tc>
        <w:tc>
          <w:tcPr>
            <w:tcW w:type="dxa" w:w="48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启用库位，含不良品库位</w:t>
            </w:r>
          </w:p>
        </w:tc>
        <w:tc>
          <w:tcPr>
            <w:tcW w:type="dxa" w:w="29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实盘量小于锁定量；零差异调整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2.3 导出与查询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服务端提供 9 类实际 XLSX 导出：仓库、库区、库位、物料、入库单、出库单、库存余额、低库存预警、库存流水。库存流水导出包含备注/原因，库存导出包含安全库存下限；烟测校验响应为非空 ZIP/XLSX。</w:t>
      </w:r>
    </w:p>
    <w:p>
      <w:pPr>
        <w:pStyle w:val="Heading1"/>
        <w:keepNext/>
        <w:keepLines/>
        <w:pageBreakBefore/>
      </w:pPr>
      <w:r>
        <w:t>03 技术架构：前后端分离、模块化单体</w:t>
      </w:r>
    </w:p>
    <w:p>
      <w:pPr>
        <w:pStyle w:val="Heading2"/>
        <w:keepNext/>
        <w:keepLines/>
      </w:pPr>
      <w:r>
        <w:t>3.1 逻辑分层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450"/>
        <w:gridCol w:w="4460"/>
      </w:tblGrid>
      <w:tr>
        <w:trPr>
          <w:tblHeader/>
          <w:cantSplit/>
        </w:trPr>
        <w:tc>
          <w:tcPr>
            <w:tcW w:type="dxa" w:w="14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4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4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体验层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路由、权限指令、表单、图表、导出交互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Vue 3.5.26 / Element Plus 2.13.1 / ECharts 6.1.0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接入层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静态资源、/prod-api 反向代理、健康检查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Nginx；Cloudflare Quick Tunnel 仅测试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接口层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REST、参数校验、鉴权、审计注解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Spring Boot 4.0.3 / Spring Security / SpringDoc 3.0.2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主数据、单据、库存命令、看板聚合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yian-wms-business 服务与事务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持久层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SQL、行锁、条件更新、唯一键与外键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MyBatis 4.0.1 / MySQL 8.4 / Druid 1.2.28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运行层</w:t>
            </w:r>
          </w:p>
        </w:tc>
        <w:tc>
          <w:tcPr>
            <w:tcW w:type="dxa" w:w="34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会话/缓存、任务、服务治理</w:t>
            </w:r>
          </w:p>
        </w:tc>
        <w:tc>
          <w:tcPr>
            <w:tcW w:type="dxa" w:w="4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Valkey/Redis / Quartz / systemd</w:t>
            </w:r>
          </w:p>
        </w:tc>
      </w:tr>
    </w:tbl>
    <w:p>
      <w:pPr>
        <w:spacing w:before="0" w:after="40"/>
      </w:pPr>
    </w:p>
    <w:p>
      <w:pPr>
        <w:pStyle w:val="Caption"/>
        <w:jc w:val="center"/>
      </w:pPr>
      <w:r>
        <w:rPr>
          <w:rFonts w:ascii="Hiragino Sans GB" w:hAnsi="Hiragino Sans GB" w:eastAsia="Hiragino Sans GB" w:cs="Hiragino Sans GB"/>
          <w:i/>
          <w:color w:val="667085"/>
          <w:sz w:val="18"/>
        </w:rPr>
        <w:t>图 1  以安WMS 逻辑架构分层（Word 原生表格图）</w:t>
      </w:r>
    </w:p>
    <w:p>
      <w:pPr>
        <w:pStyle w:val="Heading2"/>
        <w:keepNext/>
        <w:keepLines/>
      </w:pPr>
      <w:r>
        <w:t>3.2 代码结构与规模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Maven 模块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主代码 Java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有效 Java 行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Vue 视图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7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312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约 2.3 万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57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6460"/>
      </w:tblGrid>
      <w:tr>
        <w:trPr>
          <w:tblHeader/>
          <w:cantSplit/>
        </w:trPr>
        <w:tc>
          <w:tcPr>
            <w:tcW w:type="dxa" w:w="29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4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定位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yian-wms-admin</w:t>
            </w:r>
          </w:p>
        </w:tc>
        <w:tc>
          <w:tcPr>
            <w:tcW w:type="dxa" w:w="6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Web 服务入口与平台 Controller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yian-wms-business</w:t>
            </w:r>
          </w:p>
        </w:tc>
        <w:tc>
          <w:tcPr>
            <w:tcW w:type="dxa" w:w="6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 个 WMS 领域对象、业务服务、Mapper、DTO 与测试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yian-wms-framework / common</w:t>
            </w:r>
          </w:p>
        </w:tc>
        <w:tc>
          <w:tcPr>
            <w:tcW w:type="dxa" w:w="6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安全、缓存、Web 基础设施与通用工具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yian-wms-system / quartz / generator</w:t>
            </w:r>
          </w:p>
        </w:tc>
        <w:tc>
          <w:tcPr>
            <w:tcW w:type="dxa" w:w="6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系统管理、调度、代码生成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yian-wms-ui</w:t>
            </w:r>
          </w:p>
        </w:tc>
        <w:tc>
          <w:tcPr>
            <w:tcW w:type="dxa" w:w="64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Vue 3 单页应用；WMS 8 个页面 + 1 个共享单据组件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EFF8FF" w:val="clear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 xml:space="preserve">架构选择  </w:t>
      </w:r>
      <w:r>
        <w:rPr>
          <w:rFonts w:ascii="Hiragino Sans GB" w:hAnsi="Hiragino Sans GB" w:eastAsia="Hiragino Sans GB" w:cs="Hiragino Sans GB"/>
          <w:color w:val="344054"/>
          <w:sz w:val="21"/>
        </w:rPr>
        <w:t>当前采用模块化单体：核心库存事务在同一数据库、同一进程边界内完成，降低分布式一致性成本；未来只有在吞吐、团队边界或独立扩缩容形成真实压力时再拆分服务。</w:t>
      </w:r>
    </w:p>
    <w:p>
      <w:pPr>
        <w:pStyle w:val="Heading1"/>
        <w:keepNext/>
        <w:keepLines/>
        <w:pageBreakBefore/>
      </w:pPr>
      <w:r>
        <w:t>04 数据模型：余额是快照，流水是证据</w:t>
      </w:r>
    </w:p>
    <w:p>
      <w:pPr>
        <w:pStyle w:val="Heading2"/>
        <w:keepNext/>
        <w:keepLines/>
      </w:pPr>
      <w:r>
        <w:t>4.1 WMS 十表模型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400"/>
        <w:gridCol w:w="4660"/>
      </w:tblGrid>
      <w:tr>
        <w:trPr>
          <w:tblHeader/>
          <w:cantSplit/>
        </w:trPr>
        <w:tc>
          <w:tcPr>
            <w:tcW w:type="dxa" w:w="13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4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数据表</w:t>
            </w:r>
          </w:p>
        </w:tc>
        <w:tc>
          <w:tcPr>
            <w:tcW w:type="dxa" w:w="46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关系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主数据</w:t>
            </w:r>
          </w:p>
        </w:tc>
        <w:tc>
          <w:tcPr>
            <w:tcW w:type="dxa" w:w="34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wms_warehouse / area / location / item</w:t>
            </w:r>
          </w:p>
        </w:tc>
        <w:tc>
          <w:tcPr>
            <w:tcW w:type="dxa" w:w="46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仓库 1:N 库区；库区 1:N 库位；物料独立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入库单</w:t>
            </w:r>
          </w:p>
        </w:tc>
        <w:tc>
          <w:tcPr>
            <w:tcW w:type="dxa" w:w="34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wms_receipt / receipt_line</w:t>
            </w:r>
          </w:p>
        </w:tc>
        <w:tc>
          <w:tcPr>
            <w:tcW w:type="dxa" w:w="46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单头 1:N 明细；明细引用物料和目标库位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出库单</w:t>
            </w:r>
          </w:p>
        </w:tc>
        <w:tc>
          <w:tcPr>
            <w:tcW w:type="dxa" w:w="34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wms_shipment / shipment_line</w:t>
            </w:r>
          </w:p>
        </w:tc>
        <w:tc>
          <w:tcPr>
            <w:tcW w:type="dxa" w:w="46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单头 1:N 明细；明细引用物料和来源库位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</w:t>
            </w:r>
          </w:p>
        </w:tc>
        <w:tc>
          <w:tcPr>
            <w:tcW w:type="dxa" w:w="34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wms_stock</w:t>
            </w:r>
          </w:p>
        </w:tc>
        <w:tc>
          <w:tcPr>
            <w:tcW w:type="dxa" w:w="46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仓库+库位+物料+批次唯一；存数量与锁定量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审计</w:t>
            </w:r>
          </w:p>
        </w:tc>
        <w:tc>
          <w:tcPr>
            <w:tcW w:type="dxa" w:w="34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wms_stock_movement</w:t>
            </w:r>
          </w:p>
        </w:tc>
        <w:tc>
          <w:tcPr>
            <w:tcW w:type="dxa" w:w="46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每次变化记录业务类型、单号、变化量、结存、操作人、原因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4.2 库存恒等式与唯一维度</w:t>
      </w:r>
    </w:p>
    <w:p>
      <w:pPr>
        <w:spacing w:before="120" w:after="160"/>
        <w:ind w:left="180" w:right="180"/>
        <w:shd w:fill="ECFDF3" w:val="clear"/>
      </w:pPr>
      <w:r>
        <w:rPr>
          <w:rFonts w:ascii="Hiragino Sans GB" w:hAnsi="Hiragino Sans GB" w:eastAsia="Hiragino Sans GB" w:cs="Hiragino Sans GB"/>
          <w:b/>
          <w:color w:val="067647"/>
          <w:sz w:val="21"/>
        </w:rPr>
        <w:t xml:space="preserve">库存维度  </w:t>
      </w:r>
      <w:r>
        <w:rPr>
          <w:rFonts w:ascii="Hiragino Sans GB" w:hAnsi="Hiragino Sans GB" w:eastAsia="Hiragino Sans GB" w:cs="Hiragino Sans GB"/>
          <w:color w:val="344054"/>
          <w:sz w:val="21"/>
        </w:rPr>
        <w:t>Unique(warehouse_id, location_id, item_id, batch_no) 保证同一库存维度只有一行；available_qty = quantity - locked_quantity 在查询层计算。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490"/>
        <w:gridCol w:w="397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349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数据库/应用控制</w:t>
            </w:r>
          </w:p>
        </w:tc>
        <w:tc>
          <w:tcPr>
            <w:tcW w:type="dxa" w:w="397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维度唯一</w:t>
            </w:r>
          </w:p>
        </w:tc>
        <w:tc>
          <w:tcPr>
            <w:tcW w:type="dxa" w:w="34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uk_wms_stock_dimension</w:t>
            </w:r>
          </w:p>
        </w:tc>
        <w:tc>
          <w:tcPr>
            <w:tcW w:type="dxa" w:w="39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防止重复余额行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引用完整</w:t>
            </w:r>
          </w:p>
        </w:tc>
        <w:tc>
          <w:tcPr>
            <w:tcW w:type="dxa" w:w="34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仓、位、料外键 RESTRICT；单据明细 CASCADE</w:t>
            </w:r>
          </w:p>
        </w:tc>
        <w:tc>
          <w:tcPr>
            <w:tcW w:type="dxa" w:w="39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主数据被业务引用后不可误删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变动可追</w:t>
            </w:r>
          </w:p>
        </w:tc>
        <w:tc>
          <w:tcPr>
            <w:tcW w:type="dxa" w:w="34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流水包含 change_qty 与 balance_qty</w:t>
            </w:r>
          </w:p>
        </w:tc>
        <w:tc>
          <w:tcPr>
            <w:tcW w:type="dxa" w:w="39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可按业务单号、批次、时间审计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余额可核</w:t>
            </w:r>
          </w:p>
        </w:tc>
        <w:tc>
          <w:tcPr>
            <w:tcW w:type="dxa" w:w="34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演示验收按维度比较 SUM(change_qty) 与 quantity</w:t>
            </w:r>
          </w:p>
        </w:tc>
        <w:tc>
          <w:tcPr>
            <w:tcW w:type="dxa" w:w="39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快速发现流水/余额不一致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4.3 全库规模口径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初始化包含 20 张系统表、11 张 Quartz 表和 10 张 WMS 业务表；单机安装另维护 wms_deployment_version、wms_schema_migration、wms_demo_seed_version 3 张部署元数据表，线上口径合计 44 张表。</w:t>
      </w:r>
    </w:p>
    <w:p>
      <w:pPr>
        <w:pStyle w:val="Heading1"/>
        <w:keepNext/>
        <w:keepLines/>
        <w:pageBreakBefore/>
      </w:pPr>
      <w:r>
        <w:t>05 入库闭环：草稿到库存增加</w:t>
      </w:r>
    </w:p>
    <w:p>
      <w:pPr>
        <w:pStyle w:val="Heading2"/>
        <w:keepNext/>
        <w:keepLines/>
      </w:pPr>
      <w:r>
        <w:t>5.1 业务步骤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创建草稿：校验仓库、物料、库区/库位、批次字符、日期与重复明细；计划量汇总到单头。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完成前锁定单头并确认仍为 DRAFT，读取明细并执行完成态校验。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按库位 ID 聚合本次增加量并依次锁定库位，读取最新库存总量，验证数量容量。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按库位、物料、批次排序处理明细，upsert 库存；批次日期与已有维度冲突时失败。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每条明细写 RECEIPT 正向流水，最后以条件更新把单据置为 COMPLETED。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10"/>
        <w:gridCol w:w="3950"/>
      </w:tblGrid>
      <w:tr>
        <w:trPr>
          <w:tblHeader/>
          <w:cantSplit/>
        </w:trPr>
        <w:tc>
          <w:tcPr>
            <w:tcW w:type="dxa" w:w="15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91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成功结果</w:t>
            </w:r>
          </w:p>
        </w:tc>
        <w:tc>
          <w:tcPr>
            <w:tcW w:type="dxa" w:w="39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失败行为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草稿</w:t>
            </w:r>
          </w:p>
        </w:tc>
        <w:tc>
          <w:tcPr>
            <w:tcW w:type="dxa" w:w="39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可编辑、删除、完成或取消</w:t>
            </w:r>
          </w:p>
        </w:tc>
        <w:tc>
          <w:tcPr>
            <w:tcW w:type="dxa" w:w="39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非草稿动作统一拒绝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容量校验</w:t>
            </w:r>
          </w:p>
        </w:tc>
        <w:tc>
          <w:tcPr>
            <w:tcW w:type="dxa" w:w="39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 表示不限；有限容量按最新已提交库存判断</w:t>
            </w:r>
          </w:p>
        </w:tc>
        <w:tc>
          <w:tcPr>
            <w:tcW w:type="dxa" w:w="39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超容量在库存写入前失败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库存写入</w:t>
            </w:r>
          </w:p>
        </w:tc>
        <w:tc>
          <w:tcPr>
            <w:tcW w:type="dxa" w:w="39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同维度累加；新维度创建</w:t>
            </w:r>
          </w:p>
        </w:tc>
        <w:tc>
          <w:tcPr>
            <w:tcW w:type="dxa" w:w="39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任一明细失败，事务整体回滚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完成</w:t>
            </w:r>
          </w:p>
        </w:tc>
        <w:tc>
          <w:tcPr>
            <w:tcW w:type="dxa" w:w="39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实收总量固化，记录更新人/时间</w:t>
            </w:r>
          </w:p>
        </w:tc>
        <w:tc>
          <w:tcPr>
            <w:tcW w:type="dxa" w:w="39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并发状态变化时完成失败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5.2 关键防线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仅 RECEIVING / STORAGE / RETURN 库区允许入库，DEFECTIVE 库位拒绝普通入库。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生产日期不得晚于失效日期；同库存维度已存在时保持批次日期一致。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完成操作在 READ_COMMITTED 下执行，库位行锁之后的 SUM 能看到前一写者最新提交。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单据完成与库存/流水写入处于同一事务，避免“单已完成但库存未变”或相反。</w:t>
      </w:r>
    </w:p>
    <w:p>
      <w:pPr>
        <w:spacing w:before="120" w:after="160"/>
        <w:ind w:left="180" w:right="180"/>
        <w:shd w:fill="ECFDF3" w:val="clear"/>
      </w:pPr>
      <w:r>
        <w:rPr>
          <w:rFonts w:ascii="Hiragino Sans GB" w:hAnsi="Hiragino Sans GB" w:eastAsia="Hiragino Sans GB" w:cs="Hiragino Sans GB"/>
          <w:b/>
          <w:color w:val="067647"/>
          <w:sz w:val="21"/>
        </w:rPr>
        <w:t xml:space="preserve">可核验测试  </w:t>
      </w:r>
      <w:r>
        <w:rPr>
          <w:rFonts w:ascii="Hiragino Sans GB" w:hAnsi="Hiragino Sans GB" w:eastAsia="Hiragino Sans GB" w:cs="Hiragino Sans GB"/>
          <w:color w:val="344054"/>
          <w:sz w:val="21"/>
        </w:rPr>
        <w:t>成功路径测试验证 upsert 库存、写 RECEIPT 流水、标记完成；容量超限和重复完成测试验证库存/流水不发生写入。</w:t>
      </w:r>
    </w:p>
    <w:p>
      <w:pPr>
        <w:pStyle w:val="Heading1"/>
        <w:keepNext/>
        <w:keepLines/>
        <w:pageBreakBefore/>
      </w:pPr>
      <w:r>
        <w:t>06 出库闭环：条件扣减防止超卖</w:t>
      </w:r>
    </w:p>
    <w:p>
      <w:pPr>
        <w:pStyle w:val="Heading2"/>
        <w:keepNext/>
        <w:keepLines/>
      </w:pPr>
      <w:r>
        <w:t>6.1 业务步骤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创建草稿并校验仓、位、料、批次、日期和计划量。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完成时锁定单头并确认 DRAFT；明细按库位、物料、批次稳定排序。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销售出库先校验批次失效日：失效日早于出库业务日期则拒绝。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以单条 SQL 条件 quantity - locked_quantity &gt;= shippedQty 原子扣减库存。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扣减成功后读取结存并写 SHIPMENT 负向流水；最后标记单据完成。</w:t>
      </w:r>
    </w:p>
    <w:p>
      <w:pPr>
        <w:pStyle w:val="Heading2"/>
        <w:keepNext/>
        <w:keepLines/>
      </w:pPr>
      <w:r>
        <w:t>6.2 为什么能防止并发超卖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可用量判断与扣减不拆成“先查再改”两个无保护步骤，而是写在同一条 UPDATE 条件中。多个并发请求竞争同一库存维度时，只有仍满足可用量条件的更新能够影响 1 行；失败方不写流水、不完成单据。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290"/>
        <w:gridCol w:w="3870"/>
      </w:tblGrid>
      <w:tr>
        <w:trPr>
          <w:tblHeader/>
          <w:cantSplit/>
        </w:trPr>
        <w:tc>
          <w:tcPr>
            <w:tcW w:type="dxa" w:w="22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29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数据库结果</w:t>
            </w:r>
          </w:p>
        </w:tc>
        <w:tc>
          <w:tcPr>
            <w:tcW w:type="dxa" w:w="387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业务响应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库存充足</w:t>
            </w:r>
          </w:p>
        </w:tc>
        <w:tc>
          <w:tcPr>
            <w:tcW w:type="dxa" w:w="32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条件 UPDATE 影响 1 行</w:t>
            </w:r>
          </w:p>
        </w:tc>
        <w:tc>
          <w:tcPr>
            <w:tcW w:type="dxa" w:w="38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写负向流水并完成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库存不足/已被并发占用</w:t>
            </w:r>
          </w:p>
        </w:tc>
        <w:tc>
          <w:tcPr>
            <w:tcW w:type="dxa" w:w="32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影响 0 行</w:t>
            </w:r>
          </w:p>
        </w:tc>
        <w:tc>
          <w:tcPr>
            <w:tcW w:type="dxa" w:w="38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读取当前可用量，明确报错并回滚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销售批次过期</w:t>
            </w:r>
          </w:p>
        </w:tc>
        <w:tc>
          <w:tcPr>
            <w:tcW w:type="dxa" w:w="32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 UPDATE 不执行</w:t>
            </w:r>
          </w:p>
        </w:tc>
        <w:tc>
          <w:tcPr>
            <w:tcW w:type="dxa" w:w="38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在扣减前拒绝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单据重复完成</w:t>
            </w:r>
          </w:p>
        </w:tc>
        <w:tc>
          <w:tcPr>
            <w:tcW w:type="dxa" w:w="329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单头不是 DRAFT</w:t>
            </w:r>
          </w:p>
        </w:tc>
        <w:tc>
          <w:tcPr>
            <w:tcW w:type="dxa" w:w="38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在库存写入前拒绝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边界说明  </w:t>
      </w:r>
      <w:r>
        <w:rPr>
          <w:rFonts w:ascii="Hiragino Sans GB" w:hAnsi="Hiragino Sans GB" w:eastAsia="Hiragino Sans GB" w:cs="Hiragino Sans GB"/>
          <w:color w:val="344054"/>
          <w:sz w:val="21"/>
        </w:rPr>
        <w:t>当前版本按用户选择的库存明细出库，尚未实现 FEFO 自动分配、波次、拣货任务、复核与装车交接。</w:t>
      </w:r>
    </w:p>
    <w:p>
      <w:pPr>
        <w:pStyle w:val="Heading1"/>
        <w:keepNext/>
        <w:keepLines/>
        <w:pageBreakBefore/>
      </w:pPr>
      <w:r>
        <w:t>07 直接调拨：跨仓/跨库位的原子转移</w:t>
      </w:r>
    </w:p>
    <w:p>
      <w:pPr>
        <w:pStyle w:val="Heading2"/>
        <w:keepNext/>
        <w:keepLines/>
      </w:pPr>
      <w:r>
        <w:t>7.1 命令语义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直接调拨以来源 stock_id、目标库位、调拨数量和必填原因作为输入。它适合演示和轻量纠偏，执行成功返回 TR 前缀业务号，并生成两条相同业务号的成对流水。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5200"/>
        <w:gridCol w:w="3440"/>
      </w:tblGrid>
      <w:tr>
        <w:trPr>
          <w:tblHeader/>
          <w:cantSplit/>
        </w:trPr>
        <w:tc>
          <w:tcPr>
            <w:tcW w:type="dxa" w:w="72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52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锁/校验</w:t>
            </w:r>
          </w:p>
        </w:tc>
        <w:tc>
          <w:tcPr>
            <w:tcW w:type="dxa" w:w="344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写入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</w:t>
            </w:r>
          </w:p>
        </w:tc>
        <w:tc>
          <w:tcPr>
            <w:tcW w:type="dxa" w:w="5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读取来源快照；目标不能等于来源</w:t>
            </w:r>
          </w:p>
        </w:tc>
        <w:tc>
          <w:tcPr>
            <w:tcW w:type="dxa" w:w="34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2</w:t>
            </w:r>
          </w:p>
        </w:tc>
        <w:tc>
          <w:tcPr>
            <w:tcW w:type="dxa" w:w="5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按库位 ID 升序锁来源/目标库位</w:t>
            </w:r>
          </w:p>
        </w:tc>
        <w:tc>
          <w:tcPr>
            <w:tcW w:type="dxa" w:w="34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3</w:t>
            </w:r>
          </w:p>
        </w:tc>
        <w:tc>
          <w:tcPr>
            <w:tcW w:type="dxa" w:w="5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按仓+位+料+批次稳定顺序锁两端库存</w:t>
            </w:r>
          </w:p>
        </w:tc>
        <w:tc>
          <w:tcPr>
            <w:tcW w:type="dxa" w:w="34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4</w:t>
            </w:r>
          </w:p>
        </w:tc>
        <w:tc>
          <w:tcPr>
            <w:tcW w:type="dxa" w:w="5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来源可用量、目标批次日期、目标容量</w:t>
            </w:r>
          </w:p>
        </w:tc>
        <w:tc>
          <w:tcPr>
            <w:tcW w:type="dxa" w:w="34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来源条件扣减，目标 upsert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5</w:t>
            </w:r>
          </w:p>
        </w:tc>
        <w:tc>
          <w:tcPr>
            <w:tcW w:type="dxa" w:w="5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流水结果必须各 1 行</w:t>
            </w:r>
          </w:p>
        </w:tc>
        <w:tc>
          <w:tcPr>
            <w:tcW w:type="dxa" w:w="34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TRANSFER_OUT 与 TRANSFER_IN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7.2 死锁与一致性策略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库位锁按数字 ID 升序获取；库存锁按 warehouseId/locationId/itemId/batchNo 排序，减少交叉调拨死锁。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来源扣减、目标增加和两条流水在同一事务中，任一步失败全部回滚。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目标为新库存维度时依赖唯一键与 upsert；目标已存在时校验生产/失效日期一致。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来源或目标 DEFECTIVE 库位拒绝直接调拨，防止绕过不良品处置流程。</w:t>
      </w: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边界说明  </w:t>
      </w:r>
      <w:r>
        <w:rPr>
          <w:rFonts w:ascii="Hiragino Sans GB" w:hAnsi="Hiragino Sans GB" w:eastAsia="Hiragino Sans GB" w:cs="Hiragino Sans GB"/>
          <w:color w:val="344054"/>
          <w:sz w:val="21"/>
        </w:rPr>
        <w:t>这是“直接库存命令”，不是正式调拨单；缺少申请、审批、出库确认、在途、收货确认等状态。生产化路线图会将其升级为单据流程。</w:t>
      </w:r>
    </w:p>
    <w:p>
      <w:pPr>
        <w:pStyle w:val="Heading1"/>
        <w:keepNext/>
        <w:keepLines/>
        <w:pageBreakBefore/>
      </w:pPr>
      <w:r>
        <w:t>08 直接盘点：用差异调整而不是覆盖历史</w:t>
      </w:r>
    </w:p>
    <w:p>
      <w:pPr>
        <w:pStyle w:val="Heading2"/>
        <w:keepNext/>
        <w:keepLines/>
      </w:pPr>
      <w:r>
        <w:t>8.1 盘点命令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输入库存 ID、实盘数量和必填盘点说明。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锁定所属库位，再按库存 ID 锁定库存行；校验库存仍对应原快照。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实盘量不得小于锁定量；实盘量等于账面量时拒绝无意义调整。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盘盈时验证库位容量；更新 quantity 为实盘量。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差异为正写 ADJUST_IN，差异为负写 ADJUST_OUT，流水保留原因和变动后结存。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600"/>
        <w:gridCol w:w="3260"/>
        <w:gridCol w:w="2900"/>
      </w:tblGrid>
      <w:tr>
        <w:trPr>
          <w:tblHeader/>
          <w:cantSplit/>
        </w:trPr>
        <w:tc>
          <w:tcPr>
            <w:tcW w:type="dxa" w:w="16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账面</w:t>
            </w:r>
          </w:p>
        </w:tc>
        <w:tc>
          <w:tcPr>
            <w:tcW w:type="dxa" w:w="16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实盘</w:t>
            </w:r>
          </w:p>
        </w:tc>
        <w:tc>
          <w:tcPr>
            <w:tcW w:type="dxa" w:w="32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差异流水</w:t>
            </w:r>
          </w:p>
        </w:tc>
        <w:tc>
          <w:tcPr>
            <w:tcW w:type="dxa" w:w="29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最终库存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108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+8 / ADJUST_IN</w:t>
            </w:r>
          </w:p>
        </w:tc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96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-4 / ADJUST_OUT</w:t>
            </w:r>
          </w:p>
        </w:tc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96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不写；提示无需调整</w:t>
            </w:r>
          </w:p>
        </w:tc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100（锁定 20）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15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拒绝</w:t>
            </w:r>
          </w:p>
        </w:tc>
        <w:tc>
          <w:tcPr>
            <w:tcW w:type="dxa" w:w="2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100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8.2 可审计性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盘点没有删除或重写旧流水，而是以新业务号追加差异记录。审计人员可以按业务号、操作人、时间和原因定位每次调整，并用流水累计与余额对账。</w:t>
      </w: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边界说明  </w:t>
      </w:r>
      <w:r>
        <w:rPr>
          <w:rFonts w:ascii="Hiragino Sans GB" w:hAnsi="Hiragino Sans GB" w:eastAsia="Hiragino Sans GB" w:cs="Hiragino Sans GB"/>
          <w:color w:val="344054"/>
          <w:sz w:val="21"/>
        </w:rPr>
        <w:t>当前是单库存维度的直接盘点，不含盘点计划、冻结范围、盘点任务、多轮复盘、差异审批和批量过账。</w:t>
      </w:r>
    </w:p>
    <w:p>
      <w:pPr>
        <w:pStyle w:val="Heading1"/>
        <w:keepNext/>
        <w:keepLines/>
        <w:pageBreakBefore/>
      </w:pPr>
      <w:r>
        <w:t>09 并发一致性：锁顺序、隔离级别与失败回滚</w:t>
      </w:r>
    </w:p>
    <w:p>
      <w:pPr>
        <w:pStyle w:val="Heading2"/>
        <w:keepNext/>
        <w:keepLines/>
      </w:pPr>
      <w:r>
        <w:t>9.1 一致性控制矩阵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4200"/>
        <w:gridCol w:w="3510"/>
      </w:tblGrid>
      <w:tr>
        <w:trPr>
          <w:tblHeader/>
          <w:cantSplit/>
        </w:trPr>
        <w:tc>
          <w:tcPr>
            <w:tcW w:type="dxa" w:w="16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命令</w:t>
            </w:r>
          </w:p>
        </w:tc>
        <w:tc>
          <w:tcPr>
            <w:tcW w:type="dxa" w:w="42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并发控制</w:t>
            </w:r>
          </w:p>
        </w:tc>
        <w:tc>
          <w:tcPr>
            <w:tcW w:type="dxa" w:w="351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核心不变量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完成入库</w:t>
            </w:r>
          </w:p>
        </w:tc>
        <w:tc>
          <w:tcPr>
            <w:tcW w:type="dxa" w:w="4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锁单头；按库位 ID 锁库位；READ_COMMITTED</w:t>
            </w:r>
          </w:p>
        </w:tc>
        <w:tc>
          <w:tcPr>
            <w:tcW w:type="dxa" w:w="35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容量不超限；库存、流水、单据同成同败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完成出库</w:t>
            </w:r>
          </w:p>
        </w:tc>
        <w:tc>
          <w:tcPr>
            <w:tcW w:type="dxa" w:w="4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锁单头；库存条件扣减</w:t>
            </w:r>
          </w:p>
        </w:tc>
        <w:tc>
          <w:tcPr>
            <w:tcW w:type="dxa" w:w="35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可用库存不为负；失败不写流水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直接调拨</w:t>
            </w:r>
          </w:p>
        </w:tc>
        <w:tc>
          <w:tcPr>
            <w:tcW w:type="dxa" w:w="4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库位/库存全局稳定锁顺序；READ_COMMITTED</w:t>
            </w:r>
          </w:p>
        </w:tc>
        <w:tc>
          <w:tcPr>
            <w:tcW w:type="dxa" w:w="35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来源减少=目标增加；成对流水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直接盘点</w:t>
            </w:r>
          </w:p>
        </w:tc>
        <w:tc>
          <w:tcPr>
            <w:tcW w:type="dxa" w:w="4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先锁库位再锁库存；READ_COMMITTED</w:t>
            </w:r>
          </w:p>
        </w:tc>
        <w:tc>
          <w:tcPr>
            <w:tcW w:type="dxa" w:w="35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实盘≥锁定量；差异唯一入账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修改库位</w:t>
            </w:r>
          </w:p>
        </w:tc>
        <w:tc>
          <w:tcPr>
            <w:tcW w:type="dxa" w:w="4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锁库位；读取最新库存总量；READ_COMMITTED</w:t>
            </w:r>
          </w:p>
        </w:tc>
        <w:tc>
          <w:tcPr>
            <w:tcW w:type="dxa" w:w="35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有库存时禁止停用/转不良；容量不得低于现存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9.2 锁定顺序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涉及容量增加的写操作统一先锁库位，再读取该库位库存总量；直接调拨遇到两端资源时，先对库位 ID 排序，再对库存键排序。稳定顺序减少不同业务路径互相反向持锁的机会。</w:t>
      </w:r>
    </w:p>
    <w:p>
      <w:pPr>
        <w:pStyle w:val="Heading2"/>
        <w:keepNext/>
        <w:keepLines/>
      </w:pPr>
      <w:r>
        <w:t>9.3 应用层与数据库层分工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/>
          <w:cantSplit/>
        </w:trPr>
        <w:tc>
          <w:tcPr>
            <w:tcW w:type="dxa" w:w="20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层</w:t>
            </w:r>
          </w:p>
        </w:tc>
        <w:tc>
          <w:tcPr>
            <w:tcW w:type="dxa" w:w="73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负责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Bean Validation</w:t>
            </w:r>
          </w:p>
        </w:tc>
        <w:tc>
          <w:tcPr>
            <w:tcW w:type="dxa" w:w="73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请求非空、正数、位数、小数位、原因长度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业务服务</w:t>
            </w:r>
          </w:p>
        </w:tc>
        <w:tc>
          <w:tcPr>
            <w:tcW w:type="dxa" w:w="73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状态机、作业区域、容量、批次日期、启停与引用规则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SQL</w:t>
            </w:r>
          </w:p>
        </w:tc>
        <w:tc>
          <w:tcPr>
            <w:tcW w:type="dxa" w:w="73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行锁、唯一维度、条件扣减、条件状态迁移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事务</w:t>
            </w:r>
          </w:p>
        </w:tc>
        <w:tc>
          <w:tcPr>
            <w:tcW w:type="dxa" w:w="73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余额、流水与单据跨多条 SQL 的原子性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测试/烟测</w:t>
            </w:r>
          </w:p>
        </w:tc>
        <w:tc>
          <w:tcPr>
            <w:tcW w:type="dxa" w:w="73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成功与失败路径、结构契约、余额-流水一致性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FEF3F2" w:val="clear"/>
      </w:pPr>
      <w:r>
        <w:rPr>
          <w:rFonts w:ascii="Hiragino Sans GB" w:hAnsi="Hiragino Sans GB" w:eastAsia="Hiragino Sans GB" w:cs="Hiragino Sans GB"/>
          <w:b/>
          <w:color w:val="9B1C1C"/>
          <w:sz w:val="21"/>
        </w:rPr>
        <w:t xml:space="preserve">诚实边界  </w:t>
      </w:r>
      <w:r>
        <w:rPr>
          <w:rFonts w:ascii="Hiragino Sans GB" w:hAnsi="Hiragino Sans GB" w:eastAsia="Hiragino Sans GB" w:cs="Hiragino Sans GB"/>
          <w:color w:val="344054"/>
          <w:sz w:val="21"/>
        </w:rPr>
        <w:t>业务表未增加数据库 CHECK 约束，关键数值与状态主要由应用、行锁、条件 SQL 和测试守护；未来多写入方接入时应补数据库约束或统一写入服务。</w:t>
      </w:r>
    </w:p>
    <w:p>
      <w:pPr>
        <w:pStyle w:val="Heading1"/>
        <w:keepNext/>
        <w:keepLines/>
        <w:pageBreakBefore/>
      </w:pPr>
      <w:r>
        <w:t>10 看板与预警：从库存结果回到经营动作</w:t>
      </w:r>
    </w:p>
    <w:p>
      <w:pPr>
        <w:pStyle w:val="Heading2"/>
        <w:keepNext/>
        <w:keepLines/>
      </w:pPr>
      <w:r>
        <w:t>10.1 看板指标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库存总量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上海中心仓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苏州履约仓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7日净入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916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474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442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+108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700"/>
        <w:gridCol w:w="27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指标/图表</w:t>
            </w:r>
          </w:p>
        </w:tc>
        <w:tc>
          <w:tcPr>
            <w:tcW w:type="dxa" w:w="47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口径</w:t>
            </w:r>
          </w:p>
        </w:tc>
        <w:tc>
          <w:tcPr>
            <w:tcW w:type="dxa" w:w="27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库存/可用库存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仅启用仓、区、位、物料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摘要卡片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低库存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按仓库+物料聚合；仅 STORAGE/PICKING 且非 DEFECTIVE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点击携带 warehouseId + itemId 下钻库存页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今日出入库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业务日期为今日且状态 COMPLETED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摘要卡片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7 日趋势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最近 7 个业务日的已完成单据；前端补零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ECharts 双折线/面积图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仓库分布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启用仓内启用主数据的库存数量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ECharts 环形图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最近流水</w:t>
            </w:r>
          </w:p>
        </w:tc>
        <w:tc>
          <w:tcPr>
            <w:tcW w:type="dxa" w:w="4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按操作时间与 ID 倒序前 10 条</w:t>
            </w:r>
          </w:p>
        </w:tc>
        <w:tc>
          <w:tcPr>
            <w:tcW w:type="dxa" w:w="27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显示业务、批次、变化与结存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10.2 低库存边界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低库存仅能覆盖已经存在库存维度的仓库—物料组合。由于系统尚无 SKU—仓库铺货/经营范围表，完全没有库存行但本应经营的物料无法自动进入预警；这是下一阶段主数据建模问题，而不是简单 SQL 补零。</w:t>
      </w:r>
    </w:p>
    <w:p>
      <w:pPr>
        <w:spacing w:before="120" w:after="160"/>
        <w:ind w:left="180" w:right="180"/>
        <w:shd w:fill="EFF8FF" w:val="clear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 xml:space="preserve">演示数据结果  </w:t>
      </w:r>
      <w:r>
        <w:rPr>
          <w:rFonts w:ascii="Hiragino Sans GB" w:hAnsi="Hiragino Sans GB" w:eastAsia="Hiragino Sans GB" w:cs="Hiragino Sans GB"/>
          <w:color w:val="344054"/>
          <w:sz w:val="21"/>
        </w:rPr>
        <w:t>当前演示口径：库存 916（上海 474、苏州 442），今日入 75、出 27；近 7 日入 213、出 105。数字用于演示验证，不代表真实客户经营绩效。</w:t>
      </w:r>
    </w:p>
    <w:p>
      <w:pPr>
        <w:pStyle w:val="Heading1"/>
        <w:keepNext/>
        <w:keepLines/>
        <w:pageBreakBefore/>
      </w:pPr>
      <w:r>
        <w:t>11 安全、权限与监控治理</w:t>
      </w:r>
    </w:p>
    <w:p>
      <w:pPr>
        <w:pStyle w:val="Heading2"/>
        <w:keepNext/>
        <w:keepLines/>
      </w:pPr>
      <w:r>
        <w:t>11.1 访问控制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650"/>
        <w:gridCol w:w="3210"/>
      </w:tblGrid>
      <w:tr>
        <w:trPr>
          <w:tblHeader/>
          <w:cantSplit/>
        </w:trPr>
        <w:tc>
          <w:tcPr>
            <w:tcW w:type="dxa" w:w="15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控制面</w:t>
            </w:r>
          </w:p>
        </w:tc>
        <w:tc>
          <w:tcPr>
            <w:tcW w:type="dxa" w:w="46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实现</w:t>
            </w:r>
          </w:p>
        </w:tc>
        <w:tc>
          <w:tcPr>
            <w:tcW w:type="dxa" w:w="321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验证事实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认证</w:t>
            </w:r>
          </w:p>
        </w:tc>
        <w:tc>
          <w:tcPr>
            <w:tcW w:type="dxa" w:w="4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Spring Security + JWT；验证码；Token 会话缓存</w:t>
            </w:r>
          </w:p>
        </w:tc>
        <w:tc>
          <w:tcPr>
            <w:tcW w:type="dxa" w:w="32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登出后 Token 不再可用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接口授权</w:t>
            </w:r>
          </w:p>
        </w:tc>
        <w:tc>
          <w:tcPr>
            <w:tcW w:type="dxa" w:w="4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@PreAuthorize 调用 RBAC 权限服务</w:t>
            </w:r>
          </w:p>
        </w:tc>
        <w:tc>
          <w:tcPr>
            <w:tcW w:type="dxa" w:w="32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8 个 WMS Controller，55/55 映射有权限注解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动作权限</w:t>
            </w:r>
          </w:p>
        </w:tc>
        <w:tc>
          <w:tcPr>
            <w:tcW w:type="dxa" w:w="4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调拨、盘点、取消入库、取消出库独立 F 权限</w:t>
            </w:r>
          </w:p>
        </w:tc>
        <w:tc>
          <w:tcPr>
            <w:tcW w:type="dxa" w:w="32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迁移断言 4 个权限唯一且管理员获授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审计</w:t>
            </w:r>
          </w:p>
        </w:tc>
        <w:tc>
          <w:tcPr>
            <w:tcW w:type="dxa" w:w="4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业务操作日志、登录日志、库存流水</w:t>
            </w:r>
          </w:p>
        </w:tc>
        <w:tc>
          <w:tcPr>
            <w:tcW w:type="dxa" w:w="32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流水含操作人、时间、业务号、原因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数据监控</w:t>
            </w:r>
          </w:p>
        </w:tc>
        <w:tc>
          <w:tcPr>
            <w:tcW w:type="dxa" w:w="46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 权限入口创建 15 分钟 Druid 短期会话</w:t>
            </w:r>
          </w:p>
        </w:tc>
        <w:tc>
          <w:tcPr>
            <w:tcW w:type="dxa" w:w="32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会话轮换、销毁、登出失效烟测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11.2 监控与秘密管理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Druid 原生页面由 WMS 容器内嵌展示并统一主题；WMS 入口要求 monitor:druid:list。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Druid 仍保留独立强凭据用于底层保护；部署脚本把凭据写入 /etc/wms/wms.env，权限 0600。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MySQL 与 Valkey 在单机方案中绑定回环地址，不直接暴露公网；Nginx 是统一公开入口。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测试环境 Quick Tunnel 地址可能在服务重启后变化，无可用性承诺，不应作为生产域名。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2704"/>
            <wp:docPr id="2" name="Picture 2" descr="以安WMS线上登录页，包含账号、密码、验证码和登录按钮" title="以安WMS线上登录页，包含账号、密码、验证码和登录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以安WMS-登录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iragino Sans GB" w:hAnsi="Hiragino Sans GB" w:eastAsia="Hiragino Sans GB" w:cs="Hiragino Sans GB"/>
          <w:i/>
          <w:color w:val="667085"/>
          <w:sz w:val="18"/>
        </w:rPr>
        <w:t>图 2  已部署的以安WMS登录页：账号认证与验证码入口</w:t>
      </w:r>
    </w:p>
    <w:p>
      <w:pPr>
        <w:pStyle w:val="Heading1"/>
        <w:keepNext/>
        <w:keepLines/>
        <w:pageBreakBefore/>
      </w:pPr>
      <w:r>
        <w:t>12 演示数据、测试与验收证据</w:t>
      </w:r>
    </w:p>
    <w:p>
      <w:pPr>
        <w:pStyle w:val="Heading2"/>
        <w:keepNext/>
        <w:keepLines/>
      </w:pPr>
      <w:r>
        <w:t>12.1 可重复演示数据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仓库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库区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库位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物料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3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9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14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14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库存维度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入库单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出库单</w:t>
            </w:r>
          </w:p>
        </w:tc>
        <w:tc>
          <w:tcPr>
            <w:tcW w:type="dxa" w:w="2340"/>
            <w:shd w:fill="0B254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库存流水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17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5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5</w:t>
            </w:r>
          </w:p>
        </w:tc>
        <w:tc>
          <w:tcPr>
            <w:tcW w:type="dxa" w:w="23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  <w:shd w:fill="EFF8FF" w:val="clear"/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55EEF"/>
                <w:sz w:val="32"/>
              </w:rPr>
              <w:t>34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 w:cs="Hiragino Sans GB"/>
          <w:color w:val="344054"/>
          <w:sz w:val="22"/>
        </w:rPr>
        <w:t>演示种子覆盖两座启用仓、一座停用规划仓，多批次、临期/过期、低库存、退货、取消单、调拨和盘点。种子脚本用事务、 advisory lock、白名单重建和末尾断言保证可重复初始化。</w:t>
      </w:r>
    </w:p>
    <w:p>
      <w:pPr>
        <w:pStyle w:val="Heading2"/>
        <w:keepNext/>
        <w:keepLines/>
      </w:pPr>
      <w:r>
        <w:t>12.2 动态日期刷新</w:t>
      </w: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重要口径  </w:t>
      </w:r>
      <w:r>
        <w:rPr>
          <w:rFonts w:ascii="Hiragino Sans GB" w:hAnsi="Hiragino Sans GB" w:eastAsia="Hiragino Sans GB" w:cs="Hiragino Sans GB"/>
          <w:color w:val="344054"/>
          <w:sz w:val="21"/>
        </w:rPr>
        <w:t>每次部署只把 3 张已完成入库单和 3 张已完成出库单的业务日期投影到最近 7 天，使“今日作业”和趋势持续可演示；不会改创建/更新时间、明细、库存或流水。因此业务日期不等于原始库存操作时间。</w:t>
      </w:r>
    </w:p>
    <w:p>
      <w:pPr>
        <w:pStyle w:val="Heading2"/>
        <w:keepNext/>
        <w:keepLines/>
      </w:pPr>
      <w:r>
        <w:t>12.3 自动化测试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900"/>
        <w:gridCol w:w="5260"/>
      </w:tblGrid>
      <w:tr>
        <w:trPr>
          <w:tblHeader/>
          <w:cantSplit/>
        </w:trPr>
        <w:tc>
          <w:tcPr>
            <w:tcW w:type="dxa" w:w="32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测试类</w:t>
            </w:r>
          </w:p>
        </w:tc>
        <w:tc>
          <w:tcPr>
            <w:tcW w:type="dxa" w:w="9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52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覆盖重点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WmsStockServiceImplTest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7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调拨/盘点成功、容量、锁定量、批次冲突与失败写保护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WmsReceiptServiceImplTest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7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取消状态机、完成幂等、容量与成功闭环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WmsShipmentServiceImplTest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6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取消状态机、原子扣减、成功闭环与失败不写流水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WmsLocationServiceImplTest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4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容量下调、停用、转不良与合法更新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WmsStockExportContractTest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2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真实工作簿中的原因与安全库存列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WmsCapacityIsolationContractTest</w:t>
            </w:r>
          </w:p>
        </w:tc>
        <w:tc>
          <w:tcPr>
            <w:tcW w:type="dxa" w:w="9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</w:t>
            </w:r>
          </w:p>
        </w:tc>
        <w:tc>
          <w:tcPr>
            <w:tcW w:type="dxa" w:w="5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4 个容量写命令的 READ_COMMITTED 契约</w:t>
            </w:r>
          </w:p>
        </w:tc>
      </w:tr>
    </w:tbl>
    <w:p>
      <w:pPr>
        <w:spacing w:before="0" w:after="40"/>
      </w:pPr>
    </w:p>
    <w:p>
      <w:pPr>
        <w:spacing w:before="120" w:after="160"/>
        <w:ind w:left="180" w:right="180"/>
        <w:shd w:fill="ECFDF3" w:val="clear"/>
      </w:pPr>
      <w:r>
        <w:rPr>
          <w:rFonts w:ascii="Hiragino Sans GB" w:hAnsi="Hiragino Sans GB" w:eastAsia="Hiragino Sans GB" w:cs="Hiragino Sans GB"/>
          <w:b/>
          <w:color w:val="067647"/>
          <w:sz w:val="21"/>
        </w:rPr>
        <w:t xml:space="preserve">构建结果  </w:t>
      </w:r>
      <w:r>
        <w:rPr>
          <w:rFonts w:ascii="Hiragino Sans GB" w:hAnsi="Hiragino Sans GB" w:eastAsia="Hiragino Sans GB" w:cs="Hiragino Sans GB"/>
          <w:color w:val="344054"/>
          <w:sz w:val="21"/>
        </w:rPr>
        <w:t>mvn clean package：Tests run 27，Failures 0，Errors 0，Skipped 0；前端生产构建完成。测试是关键服务与契约覆盖，不等同于全量端到端覆盖率。</w:t>
      </w:r>
    </w:p>
    <w:p>
      <w:pPr>
        <w:pStyle w:val="Heading1"/>
        <w:keepNext/>
        <w:keepLines/>
        <w:pageBreakBefore/>
      </w:pPr>
      <w:r>
        <w:t>13 部署与发布治理</w:t>
      </w:r>
    </w:p>
    <w:p>
      <w:pPr>
        <w:pStyle w:val="Heading2"/>
        <w:keepNext/>
        <w:keepLines/>
      </w:pPr>
      <w:r>
        <w:t>13.1 单机测试拓扑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560"/>
        <w:gridCol w:w="2700"/>
      </w:tblGrid>
      <w:tr>
        <w:trPr>
          <w:tblHeader/>
          <w:cantSplit/>
        </w:trPr>
        <w:tc>
          <w:tcPr>
            <w:tcW w:type="dxa" w:w="21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入口/组件</w:t>
            </w:r>
          </w:p>
        </w:tc>
        <w:tc>
          <w:tcPr>
            <w:tcW w:type="dxa" w:w="45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7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暴露面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Cloudflare Quick Tunnel</w:t>
            </w:r>
          </w:p>
        </w:tc>
        <w:tc>
          <w:tcPr>
            <w:tcW w:type="dxa" w:w="45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临时公网转发</w:t>
            </w:r>
          </w:p>
        </w:tc>
        <w:tc>
          <w:tcPr>
            <w:tcW w:type="dxa" w:w="2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随机 trycloudflare 地址，仅测试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Nginx</w:t>
            </w:r>
          </w:p>
        </w:tc>
        <w:tc>
          <w:tcPr>
            <w:tcW w:type="dxa" w:w="45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前端静态资源、/prod-api 反代、healthz</w:t>
            </w:r>
          </w:p>
        </w:tc>
        <w:tc>
          <w:tcPr>
            <w:tcW w:type="dxa" w:w="2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80 端口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wms.service</w:t>
            </w:r>
          </w:p>
        </w:tc>
        <w:tc>
          <w:tcPr>
            <w:tcW w:type="dxa" w:w="45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Java 后端，独立 wms 用户，JVM/systemd 内存限制</w:t>
            </w:r>
          </w:p>
        </w:tc>
        <w:tc>
          <w:tcPr>
            <w:tcW w:type="dxa" w:w="2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127.0.0.1:8080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MySQL 8.4</w:t>
            </w:r>
          </w:p>
        </w:tc>
        <w:tc>
          <w:tcPr>
            <w:tcW w:type="dxa" w:w="45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业务、平台、Quartz、部署元数据</w:t>
            </w:r>
          </w:p>
        </w:tc>
        <w:tc>
          <w:tcPr>
            <w:tcW w:type="dxa" w:w="2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回环绑定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Valkey</w:t>
            </w:r>
          </w:p>
        </w:tc>
        <w:tc>
          <w:tcPr>
            <w:tcW w:type="dxa" w:w="45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Token、验证码、缓存</w:t>
            </w:r>
          </w:p>
        </w:tc>
        <w:tc>
          <w:tcPr>
            <w:tcW w:type="dxa" w:w="27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回环绑定 + 密码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13.2 发布链路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校验目标 Git commit、JAR 与前端归档 SHA-256，拒绝源与产物不一致。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首次安装初始化平台/Quartz/WMS；增量发布按不可变脚本指纹执行 V1.1 权限迁移。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SQL 变更和演示数据重建前创建唯一时间戳备份，迁移使用 advisory lock 与事务。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JAR 和前端落到版本目录，切换软链接；重启后端并 reload Nginx，不主动重建隧道。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执行服务、时区、数据库、权限、Druid、登录、看板、17+库存行、9 类导出和上传清理烟测。</w:t>
      </w:r>
    </w:p>
    <w:p>
      <w:pPr>
        <w:pStyle w:val="Heading2"/>
        <w:keepNext/>
        <w:keepLines/>
      </w:pPr>
      <w:r>
        <w:t>13.3 回滚与生产边界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安装脚本不是跨 MySQL、systemd、Nginx 的分布式原子事务。应用切换失败时先恢复旧 JAR/前端链接，再依据失败点决定是否从 SQL 备份恢复；这一策略适用于单机测试，不应宣称生产级零停机。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环境</w:t>
            </w:r>
          </w:p>
        </w:tc>
        <w:tc>
          <w:tcPr>
            <w:tcW w:type="dxa" w:w="72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当前建议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个人/答辩测试</w:t>
            </w:r>
          </w:p>
        </w:tc>
        <w:tc>
          <w:tcPr>
            <w:tcW w:type="dxa" w:w="7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2 vCPU、2 GB 内存、20 GB 磁盘；至少 1 GB swap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客户 PoC</w:t>
            </w:r>
          </w:p>
        </w:tc>
        <w:tc>
          <w:tcPr>
            <w:tcW w:type="dxa" w:w="7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固定域名、HTTPS、独立备份、监控告警、定期重启演练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生产</w:t>
            </w:r>
          </w:p>
        </w:tc>
        <w:tc>
          <w:tcPr>
            <w:tcW w:type="dxa" w:w="7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冗余应用、托管数据库/缓存、对象存储、集中日志、WAF、灾备演练</w:t>
            </w:r>
          </w:p>
        </w:tc>
      </w:tr>
    </w:tbl>
    <w:p>
      <w:pPr>
        <w:spacing w:before="0" w:after="40"/>
      </w:pPr>
    </w:p>
    <w:p>
      <w:pPr>
        <w:pStyle w:val="Heading1"/>
        <w:keepNext/>
        <w:keepLines/>
        <w:pageBreakBefore/>
      </w:pPr>
      <w:r>
        <w:t>14 限制、路线图与答辩 Q&amp;A</w:t>
      </w:r>
    </w:p>
    <w:p>
      <w:pPr>
        <w:pStyle w:val="Heading2"/>
        <w:keepNext/>
        <w:keepLines/>
      </w:pPr>
      <w:r>
        <w:t>14.1 已知限制清单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30"/>
        <w:gridCol w:w="3260"/>
        <w:gridCol w:w="3470"/>
      </w:tblGrid>
      <w:tr>
        <w:trPr>
          <w:tblHeader/>
          <w:cantSplit/>
        </w:trPr>
        <w:tc>
          <w:tcPr>
            <w:tcW w:type="dxa" w:w="263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32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47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路线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调拨/盘点为直接命令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缺少审批、复核与业务在途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引入正式单头/明细/状态机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无库存预占流程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订单并发履约能力有限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reservation + 分配/释放/过期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无仓级数据权限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有菜单权限者可见全部仓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用户—仓库授权与查询数据域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无供应商/客户主数据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上下游名称不可统一治理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伙伴主数据与采购/销售接口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无前端单测/E2E、无覆盖率基线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回归更多依赖后端和烟测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Vitest/Playwright + JaCoCo 门禁</w:t>
            </w:r>
          </w:p>
        </w:tc>
      </w:tr>
      <w:tr>
        <w:trPr>
          <w:cantSplit/>
        </w:trPr>
        <w:tc>
          <w:tcPr>
            <w:tcW w:type="dxa" w:w="263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单机 Quick Tunnel</w:t>
            </w:r>
          </w:p>
        </w:tc>
        <w:tc>
          <w:tcPr>
            <w:tcW w:type="dxa" w:w="3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域名漂移、无 SLA</w:t>
            </w:r>
          </w:p>
        </w:tc>
        <w:tc>
          <w:tcPr>
            <w:tcW w:type="dxa" w:w="347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正式域名、TLS、冗余与监控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14.2 三阶段路线图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1600"/>
        <w:gridCol w:w="6010"/>
      </w:tblGrid>
      <w:tr>
        <w:trPr>
          <w:tblHeader/>
          <w:cantSplit/>
        </w:trPr>
        <w:tc>
          <w:tcPr>
            <w:tcW w:type="dxa" w:w="175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6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601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P0 · 试点加固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4–6 周</w:t>
            </w:r>
          </w:p>
        </w:tc>
        <w:tc>
          <w:tcPr>
            <w:tcW w:type="dxa" w:w="60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正式调拨/盘点单、仓级数据权限、覆盖率、固定域名/HTTPS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P1 · 履约增强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6–10 周</w:t>
            </w:r>
          </w:p>
        </w:tc>
        <w:tc>
          <w:tcPr>
            <w:tcW w:type="dxa" w:w="60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库存预占、上架/拣货任务、FEFO、批量导入、伙伴主数据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P2 · 生产扩展</w:t>
            </w:r>
          </w:p>
        </w:tc>
        <w:tc>
          <w:tcPr>
            <w:tcW w:type="dxa" w:w="16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按规模</w:t>
            </w:r>
          </w:p>
        </w:tc>
        <w:tc>
          <w:tcPr>
            <w:tcW w:type="dxa" w:w="601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高可用、可观测性、接口平台、性能压测、灾备与审计报表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14.3 高频答辩问题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Q1：为什么不直接拆微服务？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核心库存命令需要强事务，当前规模下模块化单体更低风险；用模块边界为未来拆分保留路径。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Q2：如何证明不会超卖？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出库使用带可用量条件的原子 UPDATE；影响 0 行即失败，且失败不写流水、不完成单据。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Q3：调拨如何避免死锁？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库位 ID 与库存业务键均按稳定顺序加锁，两端余额与成对流水同事务。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Q4：库存余额错了怎么办？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按仓+位+料+批次比较流水 change_qty 累计与余额；演示烟测已自动执行该检查。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Q5：为什么低库存没有“零库存 SKU”？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当前无仓库经营品种表；没有库存行时系统不知道该仓是否应经营该物料，需先补主数据关系。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Q6：Druid 为什么还能有登录？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WMS 集成入口使用权限+15分钟短期会话，底层仍保留独立强凭据作为直接入口保护。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Q7：27 个测试足够吗？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足以验证本次核心服务和导出契约，但不代表完整覆盖；前端 E2E、集成并发与覆盖率门禁列入 P0。</w:t>
      </w:r>
    </w:p>
    <w:p>
      <w:pPr>
        <w:keepNext/>
        <w:spacing w:before="80" w:after="40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>Q8：能否直接生产上线？</w:t>
      </w:r>
    </w:p>
    <w:p>
      <w:pPr>
        <w:spacing w:after="100"/>
        <w:ind w:left="260"/>
      </w:pPr>
      <w:r>
        <w:rPr>
          <w:rFonts w:ascii="Hiragino Sans GB" w:hAnsi="Hiragino Sans GB" w:eastAsia="Hiragino Sans GB" w:cs="Hiragino Sans GB"/>
          <w:color w:val="344054"/>
          <w:sz w:val="20"/>
        </w:rPr>
        <w:t>不建议。当前是单机测试基线；生产前需完成 P0、容量/安全评审、备份恢复演练和可观测性建设。</w:t>
      </w:r>
    </w:p>
    <w:p>
      <w:pPr>
        <w:pStyle w:val="Heading1"/>
        <w:keepNext/>
        <w:keepLines/>
        <w:pageBreakBefore/>
      </w:pPr>
      <w:r>
        <w:t>附录 A 现场演示脚本与验收清单</w:t>
      </w:r>
    </w:p>
    <w:p>
      <w:pPr>
        <w:pStyle w:val="Heading2"/>
        <w:keepNext/>
        <w:keepLines/>
      </w:pPr>
      <w:r>
        <w:t>A.1 12 分钟演示路径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540"/>
        <w:gridCol w:w="4320"/>
      </w:tblGrid>
      <w:tr>
        <w:trPr>
          <w:tblHeader/>
          <w:cantSplit/>
        </w:trPr>
        <w:tc>
          <w:tcPr>
            <w:tcW w:type="dxa" w:w="15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354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432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证明点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0:00–1:30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登录并打开运营看板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今日入 75/出 27、仓库分布、趋势与最近流水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1:30–3:00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查看仓—区—位与物料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三级结构、容量、启停、安全库存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3:00–5:00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打开一张草稿入库单并完成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库存增加、RECEIPT 流水、单据状态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5:00–6:30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执行跨仓直接调拨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来源减少、目标增加、两条 TR 流水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6:30–8:00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执行盘点差异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ADJUST_IN/OUT 与原因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8:00–9:30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完成出库或演示库存不足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原子扣减与失败保护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9:30–10:30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低库存下钻与 Excel 导出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仓+料过滤、真实 XLSX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10:30–12:00</w:t>
            </w:r>
          </w:p>
        </w:tc>
        <w:tc>
          <w:tcPr>
            <w:tcW w:type="dxa" w:w="354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数据监控与技术边界</w:t>
            </w:r>
          </w:p>
        </w:tc>
        <w:tc>
          <w:tcPr>
            <w:tcW w:type="dxa" w:w="432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Druid 短期会话、限制与路线图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A.2 验收清单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服务：mysql、valkey-server、wms、nginx 运行；/healthz 返回 ok；时区 Asia/Shanghai。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数据：3 仓 / 9 区 / 14 位 / 14 物料 / 17 库存维度 / 5 入 / 5 出 / 34 流水。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一致性：负库存、锁定量异常、容量超限、流水余额差异均为 0。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权限：4 个新增动作权限唯一，admin 全部获授；未认证监控会话返回 401。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监控：Druid 静态资源、独立登录、WMS SSO 会话轮换/删除/登出失效通过。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color w:val="344054"/>
          <w:sz w:val="21"/>
        </w:rPr>
        <w:t>功能：看板摘要、趋势、仓库分布、库存列表、9 类 Excel、上传与清理通过。</w:t>
      </w:r>
    </w:p>
    <w:p>
      <w:pPr>
        <w:spacing w:before="120" w:after="160"/>
        <w:ind w:left="180" w:right="180"/>
        <w:shd w:fill="EFF8FF" w:val="clear"/>
      </w:pPr>
      <w:r>
        <w:rPr>
          <w:rFonts w:ascii="Hiragino Sans GB" w:hAnsi="Hiragino Sans GB" w:eastAsia="Hiragino Sans GB" w:cs="Hiragino Sans GB"/>
          <w:b/>
          <w:color w:val="0B2545"/>
          <w:sz w:val="21"/>
        </w:rPr>
        <w:t xml:space="preserve">最终建议  </w:t>
      </w:r>
      <w:r>
        <w:rPr>
          <w:rFonts w:ascii="Hiragino Sans GB" w:hAnsi="Hiragino Sans GB" w:eastAsia="Hiragino Sans GB" w:cs="Hiragino Sans GB"/>
          <w:color w:val="344054"/>
          <w:sz w:val="21"/>
        </w:rPr>
        <w:t>用“先演示结果，再下钻事务和证据，最后主动讲边界”的顺序答辩。这样既能呈现产品价值，也能建立工程可信度。</w:t>
      </w:r>
    </w:p>
    <w:p>
      <w:pPr>
        <w:pStyle w:val="Heading1"/>
        <w:keepNext/>
        <w:keepLines/>
        <w:pageBreakBefore/>
      </w:pPr>
      <w:r>
        <w:t>附录 B 证据索引与文档口径</w:t>
      </w:r>
    </w:p>
    <w:p>
      <w:pPr>
        <w:pStyle w:val="Heading2"/>
        <w:keepNext/>
        <w:keepLines/>
      </w:pPr>
      <w:r>
        <w:t>B.1 关键代码/配置证据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tblHeader/>
          <w:cantSplit/>
        </w:trPr>
        <w:tc>
          <w:tcPr>
            <w:tcW w:type="dxa" w:w="310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6260"/>
            <w:shd w:fill="E8EEF5" w:val="clear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18"/>
              </w:rPr>
              <w:t>仓库位置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库存调拨与盘点事务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yian-wms-business/.../WmsStockServiceImpl.java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入库/出库完成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WmsReceiptServiceImpl.java / WmsShipmentServiceImpl.java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容量与库位保护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WmsLocationServiceImpl.java / WmsDocumentValidator.java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余额、预警、流水 SQL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mapper/wms/WmsStockMapper.xml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看板口径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mapper/wms/WmsDashboardMapper.xml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动作权限迁移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sql/migrations/V1.1.0__wms_core_extensions.sql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演示数据与断言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sql/demo/wms_demo_seed.sql / wms_demo_refresh.sql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发布与验收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shd w:fill="FAFBFC" w:val="clear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deploy/aws-small/install.sh / verify.sh / README.md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自动化测试</w:t>
            </w:r>
          </w:p>
        </w:tc>
        <w:tc>
          <w:tcPr>
            <w:tcW w:type="dxa" w:w="6260"/>
            <w:tcBorders>
              <w:top w:val="single" w:sz="6" w:space="0" w:color="EAECF0"/>
              <w:left w:val="single" w:sz="6" w:space="0" w:color="EAECF0"/>
              <w:bottom w:val="single" w:sz="6" w:space="0" w:color="EAECF0"/>
              <w:right w:val="single" w:sz="6" w:space="0" w:color="EAECF0"/>
              <w:insideH w:val="single" w:sz="6" w:space="0" w:color="EAECF0"/>
              <w:insideV w:val="single" w:sz="6" w:space="0" w:color="EAEC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2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344054"/>
                <w:sz w:val="18"/>
              </w:rPr>
              <w:t>yian-wms-business/src/test/java/...</w:t>
            </w:r>
          </w:p>
        </w:tc>
      </w:tr>
    </w:tbl>
    <w:p>
      <w:pPr>
        <w:spacing w:before="0" w:after="40"/>
      </w:pPr>
    </w:p>
    <w:p>
      <w:pPr>
        <w:pStyle w:val="Heading2"/>
        <w:keepNext/>
        <w:keepLines/>
      </w:pPr>
      <w:r>
        <w:t>B.2 数字口径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本文演示数字对应 2026-08-13 的可重复种子与动态日期刷新结果。Java/接口/视图数量来自仓库静态统计；测试结果来自 Surefire 报告；部署检查项来自 verify.sh。后续代码或数据变化时，应重新生成数字而非继续引用本文。</w:t>
      </w:r>
    </w:p>
    <w:p>
      <w:pPr>
        <w:pStyle w:val="Heading2"/>
        <w:keepNext/>
        <w:keepLines/>
      </w:pPr>
      <w:r>
        <w:t>B.3 许可证与品牌</w:t>
      </w:r>
    </w:p>
    <w:p>
      <w:r>
        <w:rPr>
          <w:rFonts w:ascii="Hiragino Sans GB" w:hAnsi="Hiragino Sans GB" w:eastAsia="Hiragino Sans GB" w:cs="Hiragino Sans GB"/>
          <w:color w:val="344054"/>
          <w:sz w:val="22"/>
        </w:rPr>
        <w:t>产品界面与说明使用“以安WMS”品牌；项目保留 LICENSE 与第三方代码中必要的版权/许可声明。法律归属文本不属于产品品牌展示，不应因去品牌而擅自删除。</w:t>
      </w:r>
    </w:p>
    <w:p>
      <w:pPr>
        <w:spacing w:before="120" w:after="160"/>
        <w:ind w:left="180" w:right="180"/>
        <w:shd w:fill="FFFAEB" w:val="clear"/>
      </w:pPr>
      <w:r>
        <w:rPr>
          <w:rFonts w:ascii="Hiragino Sans GB" w:hAnsi="Hiragino Sans GB" w:eastAsia="Hiragino Sans GB" w:cs="Hiragino Sans GB"/>
          <w:b/>
          <w:color w:val="7A5A00"/>
          <w:sz w:val="21"/>
        </w:rPr>
        <w:t xml:space="preserve">文档状态  </w:t>
      </w:r>
      <w:r>
        <w:rPr>
          <w:rFonts w:ascii="Hiragino Sans GB" w:hAnsi="Hiragino Sans GB" w:eastAsia="Hiragino Sans GB" w:cs="Hiragino Sans GB"/>
          <w:color w:val="344054"/>
          <w:sz w:val="21"/>
        </w:rPr>
        <w:t>内部答辩基线 · 可用于架构评审、演示准备与试点范围确认；不构成生产 SLA、合规认证或客户收益承诺。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81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color w:val="667085"/>
        <w:sz w:val="18"/>
      </w:rPr>
      <w:t xml:space="preserve">第 </w:t>
    </w:r>
    <w:r>
      <w:rPr>
        <w:rFonts w:ascii="Hiragino Sans GB" w:hAnsi="Hiragino Sans GB" w:eastAsia="Hiragino Sans GB" w:cs="Hiragino Sans GB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EAECF0"/>
      </w:pBdr>
    </w:pPr>
    <w:r>
      <w:rPr>
        <w:rFonts w:ascii="Hiragino Sans GB" w:hAnsi="Hiragino Sans GB" w:eastAsia="Hiragino Sans GB" w:cs="Hiragino Sans GB"/>
        <w:b/>
        <w:color w:val="667085"/>
        <w:sz w:val="17"/>
      </w:rPr>
      <w:t>以安WMS  |  技术架构与核心业务闭环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754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Hiragino Sans GB" w:hAnsi="Hiragino Sans GB" w:eastAsia="Hiragino Sans GB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以安WMS 技术架构与核心业务闭环答辩文档</dc:title>
  <dc:subject>内部技术答辩、架构评审与演示验收</dc:subject>
  <dc:creator>以安WMS 项目组</dc:creator>
  <cp:keywords>WMS, 仓储管理, 库存一致性, 技术架构, 答辩</cp:keywords>
  <dc:description>验证基线：Git 9be0afd，2026-08-13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