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Qualitative Factors We believe the following business strengths allow us to successfully compete in the real estate sector: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Large Land Reserves in the Mumbai Metropolitan Region;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Strong in-house development capabilities and project execution skills;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Experienced and established participant in Slum Rehabilitation Schemes;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Established reputation for quality projects and construction; and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Experienced management and employees.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