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 report analysis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can also use this chart as a way to practice applying the NIST framework to different situations you encounter.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company experienced a security event when all network services suddenly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stopped responding. The cybersecurity team found the disruption was caused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a DDOS attack through a flood of incoming ICMP packets. The team responded by blocking the attack and stopping all non-critical network services, so that critical network services could be restored.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cybersecurity team discovered that a malicious actor or actors had sent a flood of ICMP Pings into the company’s network through an unconfigured firewall. All critical network resources needed to be secured and restored to a functioning state.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cybersecurity team implemented a new firewall rule to limit the rate of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incoming ICMP packets and an IDS/IPS system to filter out some ICMP traffic to the internal network based on suspicious characteristics.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cybersecurity team configured source IP address verification on the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 to check for spoofed IP addresses on incoming ICMP packets and also installed network monitoring software to detect abnormal traffic patterns.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future security events, the cybersecurity team will isolate affected systems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prevent further disruption to the network. They will attempt to restore any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systems and services that were disrupted by the event. Then, the team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analyze network logs to check for suspicious and abnormal activity. The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will also report all incidents to upper management and appropriate legal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authorities, if applicable.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recover from a DDoS attack by ICMP flooding, access to network services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restored to a normal functioning state. In the future, external ICMP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flood attacks can be blocked at the firewall itself. Then, all non-critical network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should be stopped to reduce internal network traffic. Next, critical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 services should be restored first. Finally, once the flood of ICMP packets have timed out, all non-critical network systems and services can be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  <w:t xml:space="preserve">brought back online.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