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9360"/>
      </w:tblGrid>
      <w:tr>
        <w:tc>
          <w:tcPr>
            <w:tcW w:type="dxa" w:w="9360"/>
            <w:shd w:fill="0F294A"/>
            <w:tcMar>
              <w:top w:w="240" w:type="dxa"/>
              <w:bottom w:w="240" w:type="dxa"/>
              <w:left w:w="200" w:type="dxa"/>
              <w:right w:w="200" w:type="dxa"/>
            </w:tcMar>
          </w:tcPr>
          <w:p>
            <w:pPr>
              <w:spacing w:before="0" w:after="80"/>
            </w:pPr>
            <w:r>
              <w:rPr>
                <w:rFonts w:ascii="Arial" w:hAnsi="Arial"/>
                <w:b/>
                <w:color w:val="FFFFFF"/>
                <w:sz w:val="40"/>
              </w:rPr>
              <w:t>Healthcare Records XML Validation &amp; Transformation System</w:t>
            </w:r>
          </w:p>
          <w:p>
            <w:pPr>
              <w:spacing w:before="40" w:after="200"/>
            </w:pPr>
            <w:r>
              <w:rPr>
                <w:rFonts w:ascii="Calibri" w:hAnsi="Calibri"/>
                <w:color w:val="BAE6FD"/>
                <w:sz w:val="23"/>
              </w:rPr>
              <w:t>Enterprise XML Data Engineering, W3C Schema Validation, XPath Querying,</w:t>
              <w:br/>
              <w:t>XSLT Report Synthesis &amp; Jakarta XML Binding (JAXB 4.0)</w:t>
            </w:r>
          </w:p>
          <w:p>
            <w:pPr>
              <w:spacing w:before="0" w:after="0"/>
            </w:pPr>
            <w:r>
              <w:rPr>
                <w:rFonts w:ascii="Calibri" w:hAnsi="Calibri"/>
                <w:i/>
                <w:color w:val="CBD5E1"/>
                <w:sz w:val="19"/>
              </w:rPr>
              <w:t>Candidate Technical Portfolio | Target Region: Republic of Botswana (BWP / Omang / BHPC) | Version: 1.0.0</w:t>
            </w:r>
          </w:p>
        </w:tc>
      </w:tr>
    </w:tbl>
    <w:p>
      <w:pPr>
        <w:spacing w:after="160"/>
      </w:pPr>
    </w:p>
    <w:p>
      <w:pPr>
        <w:pStyle w:val="Heading1"/>
        <w:keepNext/>
        <w:spacing w:before="280" w:after="80"/>
      </w:pPr>
      <w:r>
        <w:rPr>
          <w:rFonts w:ascii="Arial" w:hAnsi="Arial"/>
          <w:b/>
          <w:color w:val="0F294A"/>
          <w:sz w:val="30"/>
        </w:rPr>
        <w:t>1. Executive Summary &amp; Project Purpose</w:t>
      </w:r>
    </w:p>
    <w:p>
      <w:pPr>
        <w:spacing w:before="0" w:after="80" w:line="276" w:lineRule="auto"/>
      </w:pPr>
      <w:r>
        <w:rPr>
          <w:rFonts w:ascii="Calibri" w:hAnsi="Calibri"/>
          <w:b/>
          <w:color w:val="1E293B"/>
          <w:sz w:val="20"/>
        </w:rPr>
        <w:t xml:space="preserve">Overview: </w:t>
      </w:r>
      <w:r>
        <w:rPr>
          <w:rFonts w:ascii="Calibri" w:hAnsi="Calibri"/>
          <w:color w:val="334155"/>
          <w:sz w:val="20"/>
        </w:rPr>
        <w:t>The Healthcare Records XML Validation &amp; Transformation System is an enterprise data engineering engine designed to demonstrate master-level proficiency in structuring, validating, querying, transforming, and exchanging complex semi-structured healthcare data. Engineered using Java 21 LTS (tested on JDK 27) and Jakarta XML Binding (JAXB 4.0), the platform models medical aid members, benefit plans, accredited healthcare providers, and insurance claims within the Botswana healthcare ecosystem.</w:t>
      </w:r>
    </w:p>
    <w:p>
      <w:pPr>
        <w:spacing w:before="0" w:after="80" w:line="276" w:lineRule="auto"/>
      </w:pPr>
      <w:r>
        <w:rPr>
          <w:rFonts w:ascii="Calibri" w:hAnsi="Calibri"/>
          <w:b/>
          <w:color w:val="1E293B"/>
          <w:sz w:val="20"/>
        </w:rPr>
        <w:t xml:space="preserve">Core Mission: </w:t>
      </w:r>
      <w:r>
        <w:rPr>
          <w:rFonts w:ascii="Calibri" w:hAnsi="Calibri"/>
          <w:color w:val="334155"/>
          <w:sz w:val="20"/>
        </w:rPr>
        <w:t>In enterprise healthcare and financial interchange (EDI), data integrity is paramount. This project proves how standard XML technologies—W3C XML Schema (XSD), XPath 1.0/2.0, XSLT 1.0, and JAXB—can be orchestrated to guarantee 100% data quality, prevent invalid financial claims, enforce strict national identification rules, query nested clinical records, render dynamic HTML executive reports, and bridge XML payloads seamlessly with Java domain models.</w:t>
      </w:r>
    </w:p>
    <w:tbl>
      <w:tblPr>
        <w:tblW w:type="auto" w:w="0"/>
        <w:jc w:val="center"/>
        <w:tblLayout w:type="fixed"/>
        <w:tblLook w:firstColumn="1" w:firstRow="1" w:lastColumn="0" w:lastRow="0" w:noHBand="0" w:noVBand="1" w:val="04A0"/>
      </w:tblPr>
      <w:tblGrid>
        <w:gridCol w:w="9360"/>
      </w:tblGrid>
      <w:tr>
        <w:tc>
          <w:tcPr>
            <w:tcW w:type="dxa" w:w="9360"/>
            <w:shd w:fill="F0F9FF"/>
            <w:tcMar>
              <w:top w:w="100" w:type="dxa"/>
              <w:bottom w:w="100" w:type="dxa"/>
              <w:left w:w="160" w:type="dxa"/>
              <w:right w:w="160" w:type="dxa"/>
            </w:tcMar>
            <w:tcBorders>
              <w:left w:val="single" w:sz="20" w:space="0" w:color="0284C7"/>
              <w:top w:val="none"/>
              <w:right w:val="none"/>
              <w:bottom w:val="none"/>
            </w:tcBorders>
          </w:tcPr>
          <w:p>
            <w:pPr>
              <w:spacing w:before="0" w:after="0" w:line="276" w:lineRule="auto"/>
            </w:pPr>
            <w:r>
              <w:rPr>
                <w:rFonts w:ascii="Calibri" w:hAnsi="Calibri"/>
                <w:b/>
                <w:color w:val="0369A1"/>
                <w:sz w:val="19"/>
              </w:rPr>
              <w:t xml:space="preserve">Competency Proof: </w:t>
            </w:r>
            <w:r>
              <w:rPr>
                <w:rFonts w:ascii="Calibri" w:hAnsi="Calibri"/>
                <w:color w:val="075985"/>
                <w:sz w:val="19"/>
              </w:rPr>
              <w:t>This project directly fulfills enterprise vacancy requirements for XML proficiency by proving that XML is not merely a static text format, but a highly disciplined, schema-governed, relational data exchange standard capable of real-time validation, defect remediation, and automated presentation.</w:t>
            </w:r>
          </w:p>
        </w:tc>
      </w:tr>
    </w:tbl>
    <w:p>
      <w:pPr>
        <w:spacing w:before="0" w:after="60"/>
      </w:pPr>
    </w:p>
    <w:p>
      <w:pPr>
        <w:pStyle w:val="Heading1"/>
        <w:keepNext/>
        <w:spacing w:before="280" w:after="80"/>
      </w:pPr>
      <w:r>
        <w:rPr>
          <w:rFonts w:ascii="Arial" w:hAnsi="Arial"/>
          <w:b/>
          <w:color w:val="0F294A"/>
          <w:sz w:val="30"/>
        </w:rPr>
        <w:t>2. Key Features &amp; XML Competencies Demonstrated</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160"/>
            <w:shd w:fill="0F294A"/>
            <w:tcMar>
              <w:top w:w="100" w:type="dxa"/>
              <w:bottom w:w="100" w:type="dxa"/>
              <w:left w:w="120" w:type="dxa"/>
              <w:right w:w="120" w:type="dxa"/>
            </w:tcMar>
          </w:tcPr>
          <w:p>
            <w:pPr>
              <w:spacing w:before="0" w:after="0"/>
            </w:pPr>
            <w:r>
              <w:rPr>
                <w:rFonts w:ascii="Arial" w:hAnsi="Arial"/>
                <w:b/>
                <w:color w:val="FFFFFF"/>
                <w:sz w:val="18"/>
              </w:rPr>
              <w:t>Competency Area</w:t>
            </w:r>
          </w:p>
        </w:tc>
        <w:tc>
          <w:tcPr>
            <w:tcW w:type="dxa" w:w="2592"/>
            <w:shd w:fill="0F294A"/>
            <w:tcMar>
              <w:top w:w="100" w:type="dxa"/>
              <w:bottom w:w="100" w:type="dxa"/>
              <w:left w:w="120" w:type="dxa"/>
              <w:right w:w="120" w:type="dxa"/>
            </w:tcMar>
          </w:tcPr>
          <w:p>
            <w:pPr>
              <w:spacing w:before="0" w:after="0"/>
            </w:pPr>
            <w:r>
              <w:rPr>
                <w:rFonts w:ascii="Arial" w:hAnsi="Arial"/>
                <w:b/>
                <w:color w:val="FFFFFF"/>
                <w:sz w:val="18"/>
              </w:rPr>
              <w:t>Underlying Technology</w:t>
            </w:r>
          </w:p>
        </w:tc>
        <w:tc>
          <w:tcPr>
            <w:tcW w:type="dxa" w:w="4608"/>
            <w:shd w:fill="0F294A"/>
            <w:tcMar>
              <w:top w:w="100" w:type="dxa"/>
              <w:bottom w:w="100" w:type="dxa"/>
              <w:left w:w="120" w:type="dxa"/>
              <w:right w:w="120" w:type="dxa"/>
            </w:tcMar>
          </w:tcPr>
          <w:p>
            <w:pPr>
              <w:spacing w:before="0" w:after="0"/>
            </w:pPr>
            <w:r>
              <w:rPr>
                <w:rFonts w:ascii="Arial" w:hAnsi="Arial"/>
                <w:b/>
                <w:color w:val="FFFFFF"/>
                <w:sz w:val="18"/>
              </w:rPr>
              <w:t>Enterprise Implementation</w:t>
            </w:r>
          </w:p>
        </w:tc>
      </w:tr>
      <w:tr>
        <w:tc>
          <w:tcPr>
            <w:tcW w:type="dxa" w:w="2160"/>
            <w:shd w:fill="FFFFFF"/>
            <w:tcMar>
              <w:top w:w="70" w:type="dxa"/>
              <w:bottom w:w="70" w:type="dxa"/>
              <w:left w:w="120" w:type="dxa"/>
              <w:right w:w="120" w:type="dxa"/>
            </w:tcMar>
          </w:tcPr>
          <w:p>
            <w:pPr>
              <w:spacing w:before="0" w:after="0" w:line="276" w:lineRule="auto"/>
            </w:pPr>
            <w:r>
              <w:rPr>
                <w:rFonts w:ascii="Calibri" w:hAnsi="Calibri"/>
                <w:color w:val="334155"/>
                <w:sz w:val="18"/>
              </w:rPr>
              <w:t>Data Structuring</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334155"/>
                <w:sz w:val="18"/>
              </w:rPr>
              <w:t>XML 1.0 + Namespaces</w:t>
            </w:r>
          </w:p>
        </w:tc>
        <w:tc>
          <w:tcPr>
            <w:tcW w:type="dxa" w:w="4608"/>
            <w:shd w:fill="FFFFFF"/>
            <w:tcMar>
              <w:top w:w="70" w:type="dxa"/>
              <w:bottom w:w="70" w:type="dxa"/>
              <w:left w:w="120" w:type="dxa"/>
              <w:right w:w="120" w:type="dxa"/>
            </w:tcMar>
          </w:tcPr>
          <w:p>
            <w:pPr>
              <w:spacing w:before="0" w:after="0" w:line="276" w:lineRule="auto"/>
            </w:pPr>
            <w:r>
              <w:rPr>
                <w:rFonts w:ascii="Calibri" w:hAnsi="Calibri"/>
                <w:color w:val="334155"/>
                <w:sz w:val="18"/>
              </w:rPr>
              <w:t>Well-formed hierarchical XML database with custom target namespace (http://healthsystem.gov.bw/records).</w:t>
            </w:r>
          </w:p>
        </w:tc>
      </w:tr>
      <w:tr>
        <w:tc>
          <w:tcPr>
            <w:tcW w:type="dxa" w:w="2160"/>
            <w:shd w:fill="F8FAFC"/>
            <w:tcMar>
              <w:top w:w="70" w:type="dxa"/>
              <w:bottom w:w="70" w:type="dxa"/>
              <w:left w:w="120" w:type="dxa"/>
              <w:right w:w="120" w:type="dxa"/>
            </w:tcMar>
          </w:tcPr>
          <w:p>
            <w:pPr>
              <w:spacing w:before="0" w:after="0" w:line="276" w:lineRule="auto"/>
            </w:pPr>
            <w:r>
              <w:rPr>
                <w:rFonts w:ascii="Calibri" w:hAnsi="Calibri"/>
                <w:color w:val="334155"/>
                <w:sz w:val="18"/>
              </w:rPr>
              <w:t>Schema Validation</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334155"/>
                <w:sz w:val="18"/>
              </w:rPr>
              <w:t>W3C XML Schema (XSD 1.0)</w:t>
            </w:r>
          </w:p>
        </w:tc>
        <w:tc>
          <w:tcPr>
            <w:tcW w:type="dxa" w:w="4608"/>
            <w:shd w:fill="F8FAFC"/>
            <w:tcMar>
              <w:top w:w="70" w:type="dxa"/>
              <w:bottom w:w="70" w:type="dxa"/>
              <w:left w:w="120" w:type="dxa"/>
              <w:right w:w="120" w:type="dxa"/>
            </w:tcMar>
          </w:tcPr>
          <w:p>
            <w:pPr>
              <w:spacing w:before="0" w:after="0" w:line="276" w:lineRule="auto"/>
            </w:pPr>
            <w:r>
              <w:rPr>
                <w:rFonts w:ascii="Calibri" w:hAnsi="Calibri"/>
                <w:color w:val="334155"/>
                <w:sz w:val="18"/>
              </w:rPr>
              <w:t>Strong typing, regex facets (Omang, phone), enums, non-negative currency, and xs:key / xs:keyref integrity.</w:t>
            </w:r>
          </w:p>
        </w:tc>
      </w:tr>
      <w:tr>
        <w:tc>
          <w:tcPr>
            <w:tcW w:type="dxa" w:w="2160"/>
            <w:shd w:fill="FFFFFF"/>
            <w:tcMar>
              <w:top w:w="70" w:type="dxa"/>
              <w:bottom w:w="70" w:type="dxa"/>
              <w:left w:w="120" w:type="dxa"/>
              <w:right w:w="120" w:type="dxa"/>
            </w:tcMar>
          </w:tcPr>
          <w:p>
            <w:pPr>
              <w:spacing w:before="0" w:after="0" w:line="276" w:lineRule="auto"/>
            </w:pPr>
            <w:r>
              <w:rPr>
                <w:rFonts w:ascii="Calibri" w:hAnsi="Calibri"/>
                <w:color w:val="334155"/>
                <w:sz w:val="18"/>
              </w:rPr>
              <w:t>Defect Detection</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334155"/>
                <w:sz w:val="18"/>
              </w:rPr>
              <w:t>JAXP SchemaFactory &amp; SAX</w:t>
            </w:r>
          </w:p>
        </w:tc>
        <w:tc>
          <w:tcPr>
            <w:tcW w:type="dxa" w:w="4608"/>
            <w:shd w:fill="FFFFFF"/>
            <w:tcMar>
              <w:top w:w="70" w:type="dxa"/>
              <w:bottom w:w="70" w:type="dxa"/>
              <w:left w:w="120" w:type="dxa"/>
              <w:right w:w="120" w:type="dxa"/>
            </w:tcMar>
          </w:tcPr>
          <w:p>
            <w:pPr>
              <w:spacing w:before="0" w:after="0" w:line="276" w:lineRule="auto"/>
            </w:pPr>
            <w:r>
              <w:rPr>
                <w:rFonts w:ascii="Calibri" w:hAnsi="Calibri"/>
                <w:color w:val="334155"/>
                <w:sz w:val="18"/>
              </w:rPr>
              <w:t>Captures line numbers, column offsets, and error descriptions; demonstrates quarantine and resolution.</w:t>
            </w:r>
          </w:p>
        </w:tc>
      </w:tr>
      <w:tr>
        <w:tc>
          <w:tcPr>
            <w:tcW w:type="dxa" w:w="2160"/>
            <w:shd w:fill="F8FAFC"/>
            <w:tcMar>
              <w:top w:w="70" w:type="dxa"/>
              <w:bottom w:w="70" w:type="dxa"/>
              <w:left w:w="120" w:type="dxa"/>
              <w:right w:w="120" w:type="dxa"/>
            </w:tcMar>
          </w:tcPr>
          <w:p>
            <w:pPr>
              <w:spacing w:before="0" w:after="0" w:line="276" w:lineRule="auto"/>
            </w:pPr>
            <w:r>
              <w:rPr>
                <w:rFonts w:ascii="Calibri" w:hAnsi="Calibri"/>
                <w:color w:val="334155"/>
                <w:sz w:val="18"/>
              </w:rPr>
              <w:t>Targeted Querying</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334155"/>
                <w:sz w:val="18"/>
              </w:rPr>
              <w:t>JAXP XPath 2.0 Engine</w:t>
            </w:r>
          </w:p>
        </w:tc>
        <w:tc>
          <w:tcPr>
            <w:tcW w:type="dxa" w:w="4608"/>
            <w:shd w:fill="F8FAFC"/>
            <w:tcMar>
              <w:top w:w="70" w:type="dxa"/>
              <w:bottom w:w="70" w:type="dxa"/>
              <w:left w:w="120" w:type="dxa"/>
              <w:right w:w="120" w:type="dxa"/>
            </w:tcMar>
          </w:tcPr>
          <w:p>
            <w:pPr>
              <w:spacing w:before="0" w:after="0" w:line="276" w:lineRule="auto"/>
            </w:pPr>
            <w:r>
              <w:rPr>
                <w:rFonts w:ascii="Calibri" w:hAnsi="Calibri"/>
                <w:color w:val="334155"/>
                <w:sz w:val="18"/>
              </w:rPr>
              <w:t>Complex node evaluations, predicate filtering, aggregate functions (sum, count), and namespace resolution.</w:t>
            </w:r>
          </w:p>
        </w:tc>
      </w:tr>
      <w:tr>
        <w:tc>
          <w:tcPr>
            <w:tcW w:type="dxa" w:w="2160"/>
            <w:shd w:fill="FFFFFF"/>
            <w:tcMar>
              <w:top w:w="70" w:type="dxa"/>
              <w:bottom w:w="70" w:type="dxa"/>
              <w:left w:w="120" w:type="dxa"/>
              <w:right w:w="120" w:type="dxa"/>
            </w:tcMar>
          </w:tcPr>
          <w:p>
            <w:pPr>
              <w:spacing w:before="0" w:after="0" w:line="276" w:lineRule="auto"/>
            </w:pPr>
            <w:r>
              <w:rPr>
                <w:rFonts w:ascii="Calibri" w:hAnsi="Calibri"/>
                <w:color w:val="334155"/>
                <w:sz w:val="18"/>
              </w:rPr>
              <w:t>Data Transformation</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334155"/>
                <w:sz w:val="18"/>
              </w:rPr>
              <w:t>JAXP Transformer &amp; XSLT</w:t>
            </w:r>
          </w:p>
        </w:tc>
        <w:tc>
          <w:tcPr>
            <w:tcW w:type="dxa" w:w="4608"/>
            <w:shd w:fill="FFFFFF"/>
            <w:tcMar>
              <w:top w:w="70" w:type="dxa"/>
              <w:bottom w:w="70" w:type="dxa"/>
              <w:left w:w="120" w:type="dxa"/>
              <w:right w:w="120" w:type="dxa"/>
            </w:tcMar>
          </w:tcPr>
          <w:p>
            <w:pPr>
              <w:spacing w:before="0" w:after="0" w:line="276" w:lineRule="auto"/>
            </w:pPr>
            <w:r>
              <w:rPr>
                <w:rFonts w:ascii="Calibri" w:hAnsi="Calibri"/>
                <w:color w:val="334155"/>
                <w:sz w:val="18"/>
              </w:rPr>
              <w:t>Transforms raw XML payloads into responsive, beautifully styled HTML reports (Directory and Claims Audit).</w:t>
            </w:r>
          </w:p>
        </w:tc>
      </w:tr>
      <w:tr>
        <w:tc>
          <w:tcPr>
            <w:tcW w:type="dxa" w:w="2160"/>
            <w:shd w:fill="F8FAFC"/>
            <w:tcMar>
              <w:top w:w="70" w:type="dxa"/>
              <w:bottom w:w="70" w:type="dxa"/>
              <w:left w:w="120" w:type="dxa"/>
              <w:right w:w="120" w:type="dxa"/>
            </w:tcMar>
          </w:tcPr>
          <w:p>
            <w:pPr>
              <w:spacing w:before="0" w:after="0" w:line="276" w:lineRule="auto"/>
            </w:pPr>
            <w:r>
              <w:rPr>
                <w:rFonts w:ascii="Calibri" w:hAnsi="Calibri"/>
                <w:color w:val="334155"/>
                <w:sz w:val="18"/>
              </w:rPr>
              <w:t>Data Binding / Exchange</w:t>
            </w:r>
          </w:p>
        </w:tc>
        <w:tc>
          <w:tcPr>
            <w:tcW w:type="dxa" w:w="2592"/>
            <w:shd w:fill="F8FAFC"/>
            <w:tcMar>
              <w:top w:w="70" w:type="dxa"/>
              <w:bottom w:w="70" w:type="dxa"/>
              <w:left w:w="120" w:type="dxa"/>
              <w:right w:w="120" w:type="dxa"/>
            </w:tcMar>
          </w:tcPr>
          <w:p>
            <w:pPr>
              <w:spacing w:before="0" w:after="0" w:line="276" w:lineRule="auto"/>
            </w:pPr>
            <w:r>
              <w:rPr>
                <w:rFonts w:ascii="Calibri" w:hAnsi="Calibri"/>
                <w:color w:val="334155"/>
                <w:sz w:val="18"/>
              </w:rPr>
              <w:t>Jakarta XML Binding (JAXB 4.0)</w:t>
            </w:r>
          </w:p>
        </w:tc>
        <w:tc>
          <w:tcPr>
            <w:tcW w:type="dxa" w:w="4608"/>
            <w:shd w:fill="F8FAFC"/>
            <w:tcMar>
              <w:top w:w="70" w:type="dxa"/>
              <w:bottom w:w="70" w:type="dxa"/>
              <w:left w:w="120" w:type="dxa"/>
              <w:right w:w="120" w:type="dxa"/>
            </w:tcMar>
          </w:tcPr>
          <w:p>
            <w:pPr>
              <w:spacing w:before="0" w:after="0" w:line="276" w:lineRule="auto"/>
            </w:pPr>
            <w:r>
              <w:rPr>
                <w:rFonts w:ascii="Calibri" w:hAnsi="Calibri"/>
                <w:color w:val="334155"/>
                <w:sz w:val="18"/>
              </w:rPr>
              <w:t>Two-way mapping: unmarshals XML into Java POJOs and serializes updated objects back into validated XML.</w:t>
            </w:r>
          </w:p>
        </w:tc>
      </w:tr>
      <w:tr>
        <w:tc>
          <w:tcPr>
            <w:tcW w:type="dxa" w:w="2160"/>
            <w:shd w:fill="FFFFFF"/>
            <w:tcMar>
              <w:top w:w="70" w:type="dxa"/>
              <w:bottom w:w="70" w:type="dxa"/>
              <w:left w:w="120" w:type="dxa"/>
              <w:right w:w="120" w:type="dxa"/>
            </w:tcMar>
          </w:tcPr>
          <w:p>
            <w:pPr>
              <w:spacing w:before="0" w:after="0" w:line="276" w:lineRule="auto"/>
            </w:pPr>
            <w:r>
              <w:rPr>
                <w:rFonts w:ascii="Calibri" w:hAnsi="Calibri"/>
                <w:color w:val="334155"/>
                <w:sz w:val="18"/>
              </w:rPr>
              <w:t>Automated QA</w:t>
            </w:r>
          </w:p>
        </w:tc>
        <w:tc>
          <w:tcPr>
            <w:tcW w:type="dxa" w:w="2592"/>
            <w:shd w:fill="FFFFFF"/>
            <w:tcMar>
              <w:top w:w="70" w:type="dxa"/>
              <w:bottom w:w="70" w:type="dxa"/>
              <w:left w:w="120" w:type="dxa"/>
              <w:right w:w="120" w:type="dxa"/>
            </w:tcMar>
          </w:tcPr>
          <w:p>
            <w:pPr>
              <w:spacing w:before="0" w:after="0" w:line="276" w:lineRule="auto"/>
            </w:pPr>
            <w:r>
              <w:rPr>
                <w:rFonts w:ascii="Calibri" w:hAnsi="Calibri"/>
                <w:color w:val="334155"/>
                <w:sz w:val="18"/>
              </w:rPr>
              <w:t>JUnit 5 + JAXP Test Suite</w:t>
            </w:r>
          </w:p>
        </w:tc>
        <w:tc>
          <w:tcPr>
            <w:tcW w:type="dxa" w:w="4608"/>
            <w:shd w:fill="FFFFFF"/>
            <w:tcMar>
              <w:top w:w="70" w:type="dxa"/>
              <w:bottom w:w="70" w:type="dxa"/>
              <w:left w:w="120" w:type="dxa"/>
              <w:right w:w="120" w:type="dxa"/>
            </w:tcMar>
          </w:tcPr>
          <w:p>
            <w:pPr>
              <w:spacing w:before="0" w:after="0" w:line="276" w:lineRule="auto"/>
            </w:pPr>
            <w:r>
              <w:rPr>
                <w:rFonts w:ascii="Calibri" w:hAnsi="Calibri"/>
                <w:color w:val="334155"/>
                <w:sz w:val="18"/>
              </w:rPr>
              <w:t>12 automated unit tests verifying schema adherence, query accuracy, transformer outputs, and round-trip JAXB.</w:t>
            </w:r>
          </w:p>
        </w:tc>
      </w:tr>
    </w:tbl>
    <w:p>
      <w:pPr>
        <w:spacing w:after="80"/>
      </w:pPr>
    </w:p>
    <w:p>
      <w:pPr>
        <w:pStyle w:val="Heading1"/>
        <w:keepNext/>
        <w:spacing w:before="280" w:after="80"/>
      </w:pPr>
      <w:r>
        <w:rPr>
          <w:rFonts w:ascii="Arial" w:hAnsi="Arial"/>
          <w:b/>
          <w:color w:val="0F294A"/>
          <w:sz w:val="30"/>
        </w:rPr>
        <w:t>3. Botswana Healthcare Schema Architecture (XSD)</w:t>
      </w:r>
    </w:p>
    <w:p>
      <w:pPr>
        <w:spacing w:before="0" w:after="80" w:line="276" w:lineRule="auto"/>
      </w:pPr>
      <w:r>
        <w:rPr>
          <w:rFonts w:ascii="Calibri" w:hAnsi="Calibri"/>
          <w:color w:val="334155"/>
          <w:sz w:val="20"/>
        </w:rPr>
        <w:t>The XML Schema Definition (`healthcare-records.xsd`) serves as the strict contract for all data exchange. It defines custom data types and constraints tailored to the Republic of Botswana:</w:t>
      </w:r>
    </w:p>
    <w:p>
      <w:pPr>
        <w:pStyle w:val="ListBullet"/>
        <w:spacing w:before="0" w:after="50" w:line="276" w:lineRule="auto"/>
      </w:pPr>
      <w:r>
        <w:rPr>
          <w:rFonts w:ascii="Calibri" w:hAnsi="Calibri"/>
          <w:b/>
          <w:color w:val="1E293B"/>
          <w:sz w:val="20"/>
        </w:rPr>
        <w:t xml:space="preserve">1. Currency Restriction (CurrencyType): </w:t>
      </w:r>
      <w:r>
        <w:rPr>
          <w:rFonts w:ascii="Calibri" w:hAnsi="Calibri"/>
          <w:color w:val="334155"/>
          <w:sz w:val="20"/>
        </w:rPr>
        <w:t>Restricted strictly to the Botswana national currency 'BWP' via enumeration facet. Rejects any unauthorized currencies (e.g. USD, EUR, ZAR).</w:t>
      </w:r>
    </w:p>
    <w:p>
      <w:pPr>
        <w:pStyle w:val="ListBullet"/>
        <w:spacing w:before="0" w:after="50" w:line="276" w:lineRule="auto"/>
      </w:pPr>
      <w:r>
        <w:rPr>
          <w:rFonts w:ascii="Calibri" w:hAnsi="Calibri"/>
          <w:b/>
          <w:color w:val="1E293B"/>
          <w:sz w:val="20"/>
        </w:rPr>
        <w:t xml:space="preserve">2. National Identity (OmangType): </w:t>
      </w:r>
      <w:r>
        <w:rPr>
          <w:rFonts w:ascii="Calibri" w:hAnsi="Calibri"/>
          <w:color w:val="334155"/>
          <w:sz w:val="20"/>
        </w:rPr>
        <w:t>Enforces exactly 9 numeric digits matching Botswana Omang format using regular expression facet '[0-9]{9}'. Rejects invalid or truncated identity numbers.</w:t>
      </w:r>
    </w:p>
    <w:p>
      <w:pPr>
        <w:pStyle w:val="ListBullet"/>
        <w:spacing w:before="0" w:after="50" w:line="276" w:lineRule="auto"/>
      </w:pPr>
      <w:r>
        <w:rPr>
          <w:rFonts w:ascii="Calibri" w:hAnsi="Calibri"/>
          <w:b/>
          <w:color w:val="1E293B"/>
          <w:sz w:val="20"/>
        </w:rPr>
        <w:t xml:space="preserve">3. Provider Licensing (PracticeNumberType): </w:t>
      </w:r>
      <w:r>
        <w:rPr>
          <w:rFonts w:ascii="Calibri" w:hAnsi="Calibri"/>
          <w:color w:val="334155"/>
          <w:sz w:val="20"/>
        </w:rPr>
        <w:t>Restricted to official Botswana Health Professions Council practice numbers matching 'BHPC-[0-9]{6}'.</w:t>
      </w:r>
    </w:p>
    <w:p>
      <w:pPr>
        <w:pStyle w:val="ListBullet"/>
        <w:spacing w:before="0" w:after="50" w:line="276" w:lineRule="auto"/>
      </w:pPr>
      <w:r>
        <w:rPr>
          <w:rFonts w:ascii="Calibri" w:hAnsi="Calibri"/>
          <w:b/>
          <w:color w:val="1E293B"/>
          <w:sz w:val="20"/>
        </w:rPr>
        <w:t xml:space="preserve">4. Monetary Amounts (MoneyAmountType): </w:t>
      </w:r>
      <w:r>
        <w:rPr>
          <w:rFonts w:ascii="Calibri" w:hAnsi="Calibri"/>
          <w:color w:val="334155"/>
          <w:sz w:val="20"/>
        </w:rPr>
        <w:t>Constrained to non-negative decimal values with exactly two fractional digits (minInclusive 0.00, fractionDigits 2).</w:t>
      </w:r>
    </w:p>
    <w:p>
      <w:pPr>
        <w:pStyle w:val="ListBullet"/>
        <w:spacing w:before="0" w:after="50" w:line="276" w:lineRule="auto"/>
      </w:pPr>
      <w:r>
        <w:rPr>
          <w:rFonts w:ascii="Calibri" w:hAnsi="Calibri"/>
          <w:b/>
          <w:color w:val="1E293B"/>
          <w:sz w:val="20"/>
        </w:rPr>
        <w:t xml:space="preserve">5. Telephone Contact (PhoneType): </w:t>
      </w:r>
      <w:r>
        <w:rPr>
          <w:rFonts w:ascii="Calibri" w:hAnsi="Calibri"/>
          <w:color w:val="334155"/>
          <w:sz w:val="20"/>
        </w:rPr>
        <w:t>Validated against the international dialing format for Botswana (+267) using regex facet '\+267[\s0-9\-]{7,14}'.</w:t>
      </w:r>
    </w:p>
    <w:p>
      <w:pPr>
        <w:pStyle w:val="Heading2"/>
        <w:keepNext/>
        <w:spacing w:before="200" w:after="80"/>
      </w:pPr>
      <w:r>
        <w:rPr>
          <w:rFonts w:ascii="Arial" w:hAnsi="Arial"/>
          <w:b/>
          <w:color w:val="1E6091"/>
          <w:sz w:val="25"/>
        </w:rPr>
        <w:t>3.1 Relational Integrity (Keys &amp; Key References)</w:t>
      </w:r>
    </w:p>
    <w:p>
      <w:pPr>
        <w:spacing w:before="0" w:after="80" w:line="276" w:lineRule="auto"/>
      </w:pPr>
      <w:r>
        <w:rPr>
          <w:rFonts w:ascii="Calibri" w:hAnsi="Calibri"/>
          <w:color w:val="334155"/>
          <w:sz w:val="20"/>
        </w:rPr>
        <w:t>Unlike basic XML files, this schema enforces relational referential integrity similar to primary/foreign key constraints in SQL:</w:t>
      </w:r>
    </w:p>
    <w:p>
      <w:pPr>
        <w:pStyle w:val="ListBullet"/>
        <w:spacing w:before="0" w:after="50" w:line="276" w:lineRule="auto"/>
      </w:pPr>
      <w:r>
        <w:rPr>
          <w:rFonts w:ascii="Calibri" w:hAnsi="Calibri"/>
          <w:b/>
          <w:color w:val="1E293B"/>
          <w:sz w:val="20"/>
        </w:rPr>
        <w:t xml:space="preserve">PlanKey &amp; MemberPlanRef: </w:t>
      </w:r>
      <w:r>
        <w:rPr>
          <w:rFonts w:ascii="Calibri" w:hAnsi="Calibri"/>
          <w:color w:val="334155"/>
          <w:sz w:val="20"/>
        </w:rPr>
        <w:t>Enforces unique plan IDs; 'MemberPlanRef' ensures members can only enroll in declared, active plans.</w:t>
      </w:r>
    </w:p>
    <w:p>
      <w:pPr>
        <w:pStyle w:val="ListBullet"/>
        <w:spacing w:before="0" w:after="50" w:line="276" w:lineRule="auto"/>
      </w:pPr>
      <w:r>
        <w:rPr>
          <w:rFonts w:ascii="Calibri" w:hAnsi="Calibri"/>
          <w:b/>
          <w:color w:val="1E293B"/>
          <w:sz w:val="20"/>
        </w:rPr>
        <w:t xml:space="preserve">ProviderKey &amp; ClaimProviderRef: </w:t>
      </w:r>
      <w:r>
        <w:rPr>
          <w:rFonts w:ascii="Calibri" w:hAnsi="Calibri"/>
          <w:color w:val="334155"/>
          <w:sz w:val="20"/>
        </w:rPr>
        <w:t>Enforces unique BHPC practice numbers; 'ClaimProviderRef' guarantees claims are only submitted by accredited health facilities.</w:t>
      </w:r>
    </w:p>
    <w:p>
      <w:pPr>
        <w:pStyle w:val="ListBullet"/>
        <w:spacing w:before="0" w:after="50" w:line="276" w:lineRule="auto"/>
      </w:pPr>
      <w:r>
        <w:rPr>
          <w:rFonts w:ascii="Calibri" w:hAnsi="Calibri"/>
          <w:b/>
          <w:color w:val="1E293B"/>
          <w:sz w:val="20"/>
        </w:rPr>
        <w:t xml:space="preserve">MemberKey &amp; ClaimMemberRef: </w:t>
      </w:r>
      <w:r>
        <w:rPr>
          <w:rFonts w:ascii="Calibri" w:hAnsi="Calibri"/>
          <w:color w:val="334155"/>
          <w:sz w:val="20"/>
        </w:rPr>
        <w:t>Enforces unique membership numbers; 'ClaimMemberRef' ensures claims can only be processed for registered policyholders.</w:t>
      </w:r>
    </w:p>
    <w:p>
      <w:pPr>
        <w:pStyle w:val="Heading1"/>
        <w:keepNext/>
        <w:spacing w:before="280" w:after="80"/>
      </w:pPr>
      <w:r>
        <w:rPr>
          <w:rFonts w:ascii="Arial" w:hAnsi="Arial"/>
          <w:b/>
          <w:color w:val="0F294A"/>
          <w:sz w:val="30"/>
        </w:rPr>
        <w:t>4. Defect Detection &amp; Remediation Workflow</w:t>
      </w:r>
    </w:p>
    <w:p>
      <w:pPr>
        <w:spacing w:before="0" w:after="80" w:line="276" w:lineRule="auto"/>
      </w:pPr>
      <w:r>
        <w:rPr>
          <w:rFonts w:ascii="Calibri" w:hAnsi="Calibri"/>
          <w:color w:val="334155"/>
          <w:sz w:val="20"/>
        </w:rPr>
        <w:t>To prove how invalid records are detected, quarantined, and corrected in an enterprise pipeline, the system includes two companion XML datasets:</w:t>
      </w:r>
    </w:p>
    <w:p>
      <w:pPr>
        <w:pStyle w:val="ListBullet"/>
        <w:spacing w:before="0" w:after="50" w:line="276" w:lineRule="auto"/>
      </w:pPr>
      <w:r>
        <w:rPr>
          <w:rFonts w:ascii="Calibri" w:hAnsi="Calibri"/>
          <w:b/>
          <w:color w:val="1E293B"/>
          <w:sz w:val="20"/>
        </w:rPr>
        <w:t xml:space="preserve">Dirty Input (invalid-records.xml): </w:t>
      </w:r>
      <w:r>
        <w:rPr>
          <w:rFonts w:ascii="Calibri" w:hAnsi="Calibri"/>
          <w:color w:val="334155"/>
          <w:sz w:val="20"/>
        </w:rPr>
        <w:t>Contains 9 deliberate data quality defects (e.g., illegal currency 'USD', malformed 5-digit Omang, negative claim amounts, swapped element ordering, unaccredited provider reference).</w:t>
      </w:r>
    </w:p>
    <w:p>
      <w:pPr>
        <w:pStyle w:val="ListBullet"/>
        <w:spacing w:before="0" w:after="50" w:line="276" w:lineRule="auto"/>
      </w:pPr>
      <w:r>
        <w:rPr>
          <w:rFonts w:ascii="Calibri" w:hAnsi="Calibri"/>
          <w:b/>
          <w:color w:val="1E293B"/>
          <w:sz w:val="20"/>
        </w:rPr>
        <w:t xml:space="preserve">Automated Diagnostics: </w:t>
      </w:r>
      <w:r>
        <w:rPr>
          <w:rFonts w:ascii="Calibri" w:hAnsi="Calibri"/>
          <w:color w:val="334155"/>
          <w:sz w:val="20"/>
        </w:rPr>
        <w:t>When validated via the JAXP SchemaFactory, a custom SAX ErrorHandler intercepts each violation and captures the exact line number, column offset, and schema violation rule.</w:t>
      </w:r>
    </w:p>
    <w:p>
      <w:pPr>
        <w:pStyle w:val="ListBullet"/>
        <w:spacing w:before="0" w:after="50" w:line="276" w:lineRule="auto"/>
      </w:pPr>
      <w:r>
        <w:rPr>
          <w:rFonts w:ascii="Calibri" w:hAnsi="Calibri"/>
          <w:b/>
          <w:color w:val="1E293B"/>
          <w:sz w:val="20"/>
        </w:rPr>
        <w:t xml:space="preserve">Clean Input (corrected-records.xml): </w:t>
      </w:r>
      <w:r>
        <w:rPr>
          <w:rFonts w:ascii="Calibri" w:hAnsi="Calibri"/>
          <w:color w:val="334155"/>
          <w:sz w:val="20"/>
        </w:rPr>
        <w:t>A remediated XML document where all 9 violations are resolved, demonstrating a 100% clean schema validation pass.</w:t>
      </w:r>
    </w:p>
    <w:tbl>
      <w:tblPr>
        <w:tblW w:type="auto" w:w="0"/>
        <w:jc w:val="center"/>
        <w:tblLayout w:type="fixed"/>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right w:val="single" w:sz="4" w:space="0" w:color="E2E8F0"/>
              <w:bottom w:val="single" w:sz="4" w:space="0" w:color="E2E8F0"/>
            </w:tcBorders>
          </w:tcPr>
          <w:p>
            <w:pPr>
              <w:spacing w:before="0" w:after="0" w:line="252" w:lineRule="auto"/>
            </w:pPr>
            <w:r>
              <w:rPr>
                <w:rFonts w:ascii="Consolas" w:hAnsi="Consolas"/>
                <w:color w:val="0F172A"/>
                <w:sz w:val="17"/>
              </w:rPr>
              <w:t>Sample Validation Failure Output Captured by SAX ErrorHandler:</w:t>
              <w:br/>
              <w:t>[ERROR] Line 15, Col 41: Value 'USD' is not facet-valid with respect to enumeration '[BWP]'.</w:t>
              <w:br/>
              <w:t>[ERROR] Line 41, Col 74: Value 'PENDING' is not in enumeration '[ACTIVE, SUSPENDED, TERMINATED]'.</w:t>
              <w:br/>
              <w:t>[ERROR] Line 42, Col 45: Value '75120' is not facet-valid with respect to pattern '[0-9]{9}' for type 'OmangType'.</w:t>
              <w:br/>
              <w:t>[ERROR] Line 65, Col 64: Value '-850.00' is not facet-valid with respect to minInclusive '0.0' for type 'MoneyAmountType'.</w:t>
              <w:br/>
              <w:br/>
              <w:t>Remediation Verification:</w:t>
              <w:br/>
              <w:t>[PASSED] All schema violations successfully resolved in 'corrected-records.xml'!</w:t>
            </w:r>
          </w:p>
        </w:tc>
      </w:tr>
    </w:tbl>
    <w:p>
      <w:pPr>
        <w:spacing w:before="0" w:after="60"/>
      </w:pPr>
    </w:p>
    <w:p>
      <w:pPr>
        <w:pStyle w:val="Heading1"/>
        <w:keepNext/>
        <w:spacing w:before="280" w:after="80"/>
      </w:pPr>
      <w:r>
        <w:rPr>
          <w:rFonts w:ascii="Arial" w:hAnsi="Arial"/>
          <w:b/>
          <w:color w:val="0F294A"/>
          <w:sz w:val="30"/>
        </w:rPr>
        <w:t>5. Enterprise XPath Query Suite Showcase</w:t>
      </w:r>
    </w:p>
    <w:p>
      <w:pPr>
        <w:spacing w:before="0" w:after="80" w:line="276" w:lineRule="auto"/>
      </w:pPr>
      <w:r>
        <w:rPr>
          <w:rFonts w:ascii="Calibri" w:hAnsi="Calibri"/>
          <w:color w:val="334155"/>
          <w:sz w:val="20"/>
        </w:rPr>
        <w:t>The XPath query engine (`XPathQueryEngine.java`) utilizes standard JAXP XPath APIs with a custom `NamespaceContext` resolving the 'hc' prefix. It executes production queries demonstrating filtering, navigation, and aggregation:</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592"/>
            <w:shd w:fill="0F294A"/>
            <w:tcMar>
              <w:top w:w="100" w:type="dxa"/>
              <w:bottom w:w="100" w:type="dxa"/>
              <w:left w:w="120" w:type="dxa"/>
              <w:right w:w="120" w:type="dxa"/>
            </w:tcMar>
          </w:tcPr>
          <w:p>
            <w:pPr>
              <w:spacing w:before="0" w:after="0"/>
            </w:pPr>
            <w:r>
              <w:rPr>
                <w:rFonts w:ascii="Arial" w:hAnsi="Arial"/>
                <w:b/>
                <w:color w:val="FFFFFF"/>
                <w:sz w:val="18"/>
              </w:rPr>
              <w:t>Business Objective</w:t>
            </w:r>
          </w:p>
        </w:tc>
        <w:tc>
          <w:tcPr>
            <w:tcW w:type="dxa" w:w="3888"/>
            <w:shd w:fill="0F294A"/>
            <w:tcMar>
              <w:top w:w="100" w:type="dxa"/>
              <w:bottom w:w="100" w:type="dxa"/>
              <w:left w:w="120" w:type="dxa"/>
              <w:right w:w="120" w:type="dxa"/>
            </w:tcMar>
          </w:tcPr>
          <w:p>
            <w:pPr>
              <w:spacing w:before="0" w:after="0"/>
            </w:pPr>
            <w:r>
              <w:rPr>
                <w:rFonts w:ascii="Arial" w:hAnsi="Arial"/>
                <w:b/>
                <w:color w:val="FFFFFF"/>
                <w:sz w:val="18"/>
              </w:rPr>
              <w:t>XPath Expression</w:t>
            </w:r>
          </w:p>
        </w:tc>
        <w:tc>
          <w:tcPr>
            <w:tcW w:type="dxa" w:w="2880"/>
            <w:shd w:fill="0F294A"/>
            <w:tcMar>
              <w:top w:w="100" w:type="dxa"/>
              <w:bottom w:w="100" w:type="dxa"/>
              <w:left w:w="120" w:type="dxa"/>
              <w:right w:w="120" w:type="dxa"/>
            </w:tcMar>
          </w:tcPr>
          <w:p>
            <w:pPr>
              <w:spacing w:before="0" w:after="0"/>
            </w:pPr>
            <w:r>
              <w:rPr>
                <w:rFonts w:ascii="Arial" w:hAnsi="Arial"/>
                <w:b/>
                <w:color w:val="FFFFFF"/>
                <w:sz w:val="18"/>
              </w:rPr>
              <w:t>Returned Data</w:t>
            </w:r>
          </w:p>
        </w:tc>
      </w:tr>
      <w:tr>
        <w:tc>
          <w:tcPr>
            <w:tcW w:type="dxa" w:w="2592"/>
            <w:shd w:fill="FFFFFF"/>
            <w:tcMar>
              <w:top w:w="70" w:type="dxa"/>
              <w:bottom w:w="70" w:type="dxa"/>
              <w:left w:w="120" w:type="dxa"/>
              <w:right w:w="120" w:type="dxa"/>
            </w:tcMar>
          </w:tcPr>
          <w:p>
            <w:pPr>
              <w:spacing w:before="0" w:after="0" w:line="276" w:lineRule="auto"/>
            </w:pPr>
            <w:r>
              <w:rPr>
                <w:rFonts w:ascii="Calibri" w:hAnsi="Calibri"/>
                <w:color w:val="334155"/>
                <w:sz w:val="18"/>
              </w:rPr>
              <w:t>Executive Plan Members</w:t>
            </w:r>
          </w:p>
        </w:tc>
        <w:tc>
          <w:tcPr>
            <w:tcW w:type="dxa" w:w="3888"/>
            <w:shd w:fill="FFFFFF"/>
            <w:tcMar>
              <w:top w:w="70" w:type="dxa"/>
              <w:bottom w:w="70" w:type="dxa"/>
              <w:left w:w="120" w:type="dxa"/>
              <w:right w:w="120" w:type="dxa"/>
            </w:tcMar>
          </w:tcPr>
          <w:p>
            <w:pPr>
              <w:spacing w:before="0" w:after="0" w:line="276" w:lineRule="auto"/>
            </w:pPr>
            <w:r>
              <w:rPr>
                <w:rFonts w:ascii="Calibri" w:hAnsi="Calibri"/>
                <w:color w:val="334155"/>
                <w:sz w:val="18"/>
              </w:rPr>
              <w:t>//hc:member[hc:enrolledPlanRef='PLAN-EXECUTIVE']</w:t>
            </w:r>
          </w:p>
        </w:tc>
        <w:tc>
          <w:tcPr>
            <w:tcW w:type="dxa" w:w="2880"/>
            <w:shd w:fill="FFFFFF"/>
            <w:tcMar>
              <w:top w:w="70" w:type="dxa"/>
              <w:bottom w:w="70" w:type="dxa"/>
              <w:left w:w="120" w:type="dxa"/>
              <w:right w:w="120" w:type="dxa"/>
            </w:tcMar>
          </w:tcPr>
          <w:p>
            <w:pPr>
              <w:spacing w:before="0" w:after="0" w:line="276" w:lineRule="auto"/>
            </w:pPr>
            <w:r>
              <w:rPr>
                <w:rFonts w:ascii="Calibri" w:hAnsi="Calibri"/>
                <w:color w:val="334155"/>
                <w:sz w:val="18"/>
              </w:rPr>
              <w:t>Nodeset of high-tier policyholders.</w:t>
            </w:r>
          </w:p>
        </w:tc>
      </w:tr>
      <w:tr>
        <w:tc>
          <w:tcPr>
            <w:tcW w:type="dxa" w:w="2592"/>
            <w:shd w:fill="F8FAFC"/>
            <w:tcMar>
              <w:top w:w="70" w:type="dxa"/>
              <w:bottom w:w="70" w:type="dxa"/>
              <w:left w:w="120" w:type="dxa"/>
              <w:right w:w="120" w:type="dxa"/>
            </w:tcMar>
          </w:tcPr>
          <w:p>
            <w:pPr>
              <w:spacing w:before="0" w:after="0" w:line="276" w:lineRule="auto"/>
            </w:pPr>
            <w:r>
              <w:rPr>
                <w:rFonts w:ascii="Calibri" w:hAnsi="Calibri"/>
                <w:color w:val="334155"/>
                <w:sz w:val="18"/>
              </w:rPr>
              <w:t>High-Value Claims (&gt; BWP 1,000)</w:t>
            </w:r>
          </w:p>
        </w:tc>
        <w:tc>
          <w:tcPr>
            <w:tcW w:type="dxa" w:w="3888"/>
            <w:shd w:fill="F8FAFC"/>
            <w:tcMar>
              <w:top w:w="70" w:type="dxa"/>
              <w:bottom w:w="70" w:type="dxa"/>
              <w:left w:w="120" w:type="dxa"/>
              <w:right w:w="120" w:type="dxa"/>
            </w:tcMar>
          </w:tcPr>
          <w:p>
            <w:pPr>
              <w:spacing w:before="0" w:after="0" w:line="276" w:lineRule="auto"/>
            </w:pPr>
            <w:r>
              <w:rPr>
                <w:rFonts w:ascii="Calibri" w:hAnsi="Calibri"/>
                <w:color w:val="334155"/>
                <w:sz w:val="18"/>
              </w:rPr>
              <w:t>//hc:claim[number(hc:totalClaimed) &gt; 1000.00]</w:t>
            </w:r>
          </w:p>
        </w:tc>
        <w:tc>
          <w:tcPr>
            <w:tcW w:type="dxa" w:w="2880"/>
            <w:shd w:fill="F8FAFC"/>
            <w:tcMar>
              <w:top w:w="70" w:type="dxa"/>
              <w:bottom w:w="70" w:type="dxa"/>
              <w:left w:w="120" w:type="dxa"/>
              <w:right w:w="120" w:type="dxa"/>
            </w:tcMar>
          </w:tcPr>
          <w:p>
            <w:pPr>
              <w:spacing w:before="0" w:after="0" w:line="276" w:lineRule="auto"/>
            </w:pPr>
            <w:r>
              <w:rPr>
                <w:rFonts w:ascii="Calibri" w:hAnsi="Calibri"/>
                <w:color w:val="334155"/>
                <w:sz w:val="18"/>
              </w:rPr>
              <w:t>Invoices requiring executive audit.</w:t>
            </w:r>
          </w:p>
        </w:tc>
      </w:tr>
      <w:tr>
        <w:tc>
          <w:tcPr>
            <w:tcW w:type="dxa" w:w="2592"/>
            <w:shd w:fill="FFFFFF"/>
            <w:tcMar>
              <w:top w:w="70" w:type="dxa"/>
              <w:bottom w:w="70" w:type="dxa"/>
              <w:left w:w="120" w:type="dxa"/>
              <w:right w:w="120" w:type="dxa"/>
            </w:tcMar>
          </w:tcPr>
          <w:p>
            <w:pPr>
              <w:spacing w:before="0" w:after="0" w:line="276" w:lineRule="auto"/>
            </w:pPr>
            <w:r>
              <w:rPr>
                <w:rFonts w:ascii="Calibri" w:hAnsi="Calibri"/>
                <w:color w:val="334155"/>
                <w:sz w:val="18"/>
              </w:rPr>
              <w:t>GPH Hospital Claims</w:t>
            </w:r>
          </w:p>
        </w:tc>
        <w:tc>
          <w:tcPr>
            <w:tcW w:type="dxa" w:w="3888"/>
            <w:shd w:fill="FFFFFF"/>
            <w:tcMar>
              <w:top w:w="70" w:type="dxa"/>
              <w:bottom w:w="70" w:type="dxa"/>
              <w:left w:w="120" w:type="dxa"/>
              <w:right w:w="120" w:type="dxa"/>
            </w:tcMar>
          </w:tcPr>
          <w:p>
            <w:pPr>
              <w:spacing w:before="0" w:after="0" w:line="276" w:lineRule="auto"/>
            </w:pPr>
            <w:r>
              <w:rPr>
                <w:rFonts w:ascii="Calibri" w:hAnsi="Calibri"/>
                <w:color w:val="334155"/>
                <w:sz w:val="18"/>
              </w:rPr>
              <w:t>//hc:claim[hc:providerRef='BHPC-001290']</w:t>
            </w:r>
          </w:p>
        </w:tc>
        <w:tc>
          <w:tcPr>
            <w:tcW w:type="dxa" w:w="2880"/>
            <w:shd w:fill="FFFFFF"/>
            <w:tcMar>
              <w:top w:w="70" w:type="dxa"/>
              <w:bottom w:w="70" w:type="dxa"/>
              <w:left w:w="120" w:type="dxa"/>
              <w:right w:w="120" w:type="dxa"/>
            </w:tcMar>
          </w:tcPr>
          <w:p>
            <w:pPr>
              <w:spacing w:before="0" w:after="0" w:line="276" w:lineRule="auto"/>
            </w:pPr>
            <w:r>
              <w:rPr>
                <w:rFonts w:ascii="Calibri" w:hAnsi="Calibri"/>
                <w:color w:val="334155"/>
                <w:sz w:val="18"/>
              </w:rPr>
              <w:t>Claims from Gaborone Private Hospital.</w:t>
            </w:r>
          </w:p>
        </w:tc>
      </w:tr>
      <w:tr>
        <w:tc>
          <w:tcPr>
            <w:tcW w:type="dxa" w:w="2592"/>
            <w:shd w:fill="F8FAFC"/>
            <w:tcMar>
              <w:top w:w="70" w:type="dxa"/>
              <w:bottom w:w="70" w:type="dxa"/>
              <w:left w:w="120" w:type="dxa"/>
              <w:right w:w="120" w:type="dxa"/>
            </w:tcMar>
          </w:tcPr>
          <w:p>
            <w:pPr>
              <w:spacing w:before="0" w:after="0" w:line="276" w:lineRule="auto"/>
            </w:pPr>
            <w:r>
              <w:rPr>
                <w:rFonts w:ascii="Calibri" w:hAnsi="Calibri"/>
                <w:color w:val="334155"/>
                <w:sz w:val="18"/>
              </w:rPr>
              <w:t>Cumulative Scheme Payout</w:t>
            </w:r>
          </w:p>
        </w:tc>
        <w:tc>
          <w:tcPr>
            <w:tcW w:type="dxa" w:w="3888"/>
            <w:shd w:fill="F8FAFC"/>
            <w:tcMar>
              <w:top w:w="70" w:type="dxa"/>
              <w:bottom w:w="70" w:type="dxa"/>
              <w:left w:w="120" w:type="dxa"/>
              <w:right w:w="120" w:type="dxa"/>
            </w:tcMar>
          </w:tcPr>
          <w:p>
            <w:pPr>
              <w:spacing w:before="0" w:after="0" w:line="276" w:lineRule="auto"/>
            </w:pPr>
            <w:r>
              <w:rPr>
                <w:rFonts w:ascii="Calibri" w:hAnsi="Calibri"/>
                <w:color w:val="334155"/>
                <w:sz w:val="18"/>
              </w:rPr>
              <w:t>sum(//hc:claim/hc:totalApproved)</w:t>
            </w:r>
          </w:p>
        </w:tc>
        <w:tc>
          <w:tcPr>
            <w:tcW w:type="dxa" w:w="2880"/>
            <w:shd w:fill="F8FAFC"/>
            <w:tcMar>
              <w:top w:w="70" w:type="dxa"/>
              <w:bottom w:w="70" w:type="dxa"/>
              <w:left w:w="120" w:type="dxa"/>
              <w:right w:w="120" w:type="dxa"/>
            </w:tcMar>
          </w:tcPr>
          <w:p>
            <w:pPr>
              <w:spacing w:before="0" w:after="0" w:line="276" w:lineRule="auto"/>
            </w:pPr>
            <w:r>
              <w:rPr>
                <w:rFonts w:ascii="Calibri" w:hAnsi="Calibri"/>
                <w:color w:val="334155"/>
                <w:sz w:val="18"/>
              </w:rPr>
              <w:t>BWP 11,540.00 total scheme expenditure.</w:t>
            </w:r>
          </w:p>
        </w:tc>
      </w:tr>
      <w:tr>
        <w:tc>
          <w:tcPr>
            <w:tcW w:type="dxa" w:w="2592"/>
            <w:shd w:fill="FFFFFF"/>
            <w:tcMar>
              <w:top w:w="70" w:type="dxa"/>
              <w:bottom w:w="70" w:type="dxa"/>
              <w:left w:w="120" w:type="dxa"/>
              <w:right w:w="120" w:type="dxa"/>
            </w:tcMar>
          </w:tcPr>
          <w:p>
            <w:pPr>
              <w:spacing w:before="0" w:after="0" w:line="276" w:lineRule="auto"/>
            </w:pPr>
            <w:r>
              <w:rPr>
                <w:rFonts w:ascii="Calibri" w:hAnsi="Calibri"/>
                <w:color w:val="334155"/>
                <w:sz w:val="18"/>
              </w:rPr>
              <w:t>Multi-Dependant Families</w:t>
            </w:r>
          </w:p>
        </w:tc>
        <w:tc>
          <w:tcPr>
            <w:tcW w:type="dxa" w:w="3888"/>
            <w:shd w:fill="FFFFFF"/>
            <w:tcMar>
              <w:top w:w="70" w:type="dxa"/>
              <w:bottom w:w="70" w:type="dxa"/>
              <w:left w:w="120" w:type="dxa"/>
              <w:right w:w="120" w:type="dxa"/>
            </w:tcMar>
          </w:tcPr>
          <w:p>
            <w:pPr>
              <w:spacing w:before="0" w:after="0" w:line="276" w:lineRule="auto"/>
            </w:pPr>
            <w:r>
              <w:rPr>
                <w:rFonts w:ascii="Calibri" w:hAnsi="Calibri"/>
                <w:color w:val="334155"/>
                <w:sz w:val="18"/>
              </w:rPr>
              <w:t>//hc:member[count(hc:dependants/hc:dependant) &gt;= 2]</w:t>
            </w:r>
          </w:p>
        </w:tc>
        <w:tc>
          <w:tcPr>
            <w:tcW w:type="dxa" w:w="2880"/>
            <w:shd w:fill="FFFFFF"/>
            <w:tcMar>
              <w:top w:w="70" w:type="dxa"/>
              <w:bottom w:w="70" w:type="dxa"/>
              <w:left w:w="120" w:type="dxa"/>
              <w:right w:w="120" w:type="dxa"/>
            </w:tcMar>
          </w:tcPr>
          <w:p>
            <w:pPr>
              <w:spacing w:before="0" w:after="0" w:line="276" w:lineRule="auto"/>
            </w:pPr>
            <w:r>
              <w:rPr>
                <w:rFonts w:ascii="Calibri" w:hAnsi="Calibri"/>
                <w:color w:val="334155"/>
                <w:sz w:val="18"/>
              </w:rPr>
              <w:t>Families with 2 or more registered dependants.</w:t>
            </w:r>
          </w:p>
        </w:tc>
      </w:tr>
      <w:tr>
        <w:tc>
          <w:tcPr>
            <w:tcW w:type="dxa" w:w="2592"/>
            <w:shd w:fill="F8FAFC"/>
            <w:tcMar>
              <w:top w:w="70" w:type="dxa"/>
              <w:bottom w:w="70" w:type="dxa"/>
              <w:left w:w="120" w:type="dxa"/>
              <w:right w:w="120" w:type="dxa"/>
            </w:tcMar>
          </w:tcPr>
          <w:p>
            <w:pPr>
              <w:spacing w:before="0" w:after="0" w:line="276" w:lineRule="auto"/>
            </w:pPr>
            <w:r>
              <w:rPr>
                <w:rFonts w:ascii="Calibri" w:hAnsi="Calibri"/>
                <w:color w:val="334155"/>
                <w:sz w:val="18"/>
              </w:rPr>
              <w:t>Audit of Rejected Claims</w:t>
            </w:r>
          </w:p>
        </w:tc>
        <w:tc>
          <w:tcPr>
            <w:tcW w:type="dxa" w:w="3888"/>
            <w:shd w:fill="F8FAFC"/>
            <w:tcMar>
              <w:top w:w="70" w:type="dxa"/>
              <w:bottom w:w="70" w:type="dxa"/>
              <w:left w:w="120" w:type="dxa"/>
              <w:right w:w="120" w:type="dxa"/>
            </w:tcMar>
          </w:tcPr>
          <w:p>
            <w:pPr>
              <w:spacing w:before="0" w:after="0" w:line="276" w:lineRule="auto"/>
            </w:pPr>
            <w:r>
              <w:rPr>
                <w:rFonts w:ascii="Calibri" w:hAnsi="Calibri"/>
                <w:color w:val="334155"/>
                <w:sz w:val="18"/>
              </w:rPr>
              <w:t>//hc:claim[@status='REJECTED']</w:t>
            </w:r>
          </w:p>
        </w:tc>
        <w:tc>
          <w:tcPr>
            <w:tcW w:type="dxa" w:w="2880"/>
            <w:shd w:fill="F8FAFC"/>
            <w:tcMar>
              <w:top w:w="70" w:type="dxa"/>
              <w:bottom w:w="70" w:type="dxa"/>
              <w:left w:w="120" w:type="dxa"/>
              <w:right w:w="120" w:type="dxa"/>
            </w:tcMar>
          </w:tcPr>
          <w:p>
            <w:pPr>
              <w:spacing w:before="0" w:after="0" w:line="276" w:lineRule="auto"/>
            </w:pPr>
            <w:r>
              <w:rPr>
                <w:rFonts w:ascii="Calibri" w:hAnsi="Calibri"/>
                <w:color w:val="334155"/>
                <w:sz w:val="18"/>
              </w:rPr>
              <w:t>Ineligible claims flagged for policy violations.</w:t>
            </w:r>
          </w:p>
        </w:tc>
      </w:tr>
    </w:tbl>
    <w:p>
      <w:pPr>
        <w:spacing w:after="80"/>
      </w:pPr>
    </w:p>
    <w:p>
      <w:pPr>
        <w:pStyle w:val="Heading1"/>
        <w:keepNext/>
        <w:spacing w:before="280" w:after="80"/>
      </w:pPr>
      <w:r>
        <w:rPr>
          <w:rFonts w:ascii="Arial" w:hAnsi="Arial"/>
          <w:b/>
          <w:color w:val="0F294A"/>
          <w:sz w:val="30"/>
        </w:rPr>
        <w:t>6. XSLT Transformation Pipeline &amp; Generated HTML Reports</w:t>
      </w:r>
    </w:p>
    <w:p>
      <w:pPr>
        <w:spacing w:before="0" w:after="80" w:line="276" w:lineRule="auto"/>
      </w:pPr>
      <w:r>
        <w:rPr>
          <w:rFonts w:ascii="Calibri" w:hAnsi="Calibri"/>
          <w:color w:val="334155"/>
          <w:sz w:val="20"/>
        </w:rPr>
        <w:t>The system compiles XML data into responsive HTML reports using standard XSLT 1.0 stylesheets (`member-directory.xslt` and `claims-audit-report.xslt`):</w:t>
      </w:r>
    </w:p>
    <w:p>
      <w:pPr>
        <w:pStyle w:val="ListBullet"/>
        <w:spacing w:before="0" w:after="50" w:line="276" w:lineRule="auto"/>
      </w:pPr>
      <w:r>
        <w:rPr>
          <w:rFonts w:ascii="Calibri" w:hAnsi="Calibri"/>
          <w:b/>
          <w:color w:val="1E293B"/>
          <w:sz w:val="20"/>
        </w:rPr>
        <w:t xml:space="preserve">1. Member Directory Report (member-directory.html): </w:t>
      </w:r>
      <w:r>
        <w:rPr>
          <w:rFonts w:ascii="Calibri" w:hAnsi="Calibri"/>
          <w:color w:val="334155"/>
          <w:sz w:val="20"/>
        </w:rPr>
        <w:t>Transforms member nodes into a clean tabular directory displaying member names, Omang IDs, Botswana phone links, active plan badges, and registered dependants count.</w:t>
      </w:r>
    </w:p>
    <w:p>
      <w:pPr>
        <w:pStyle w:val="ListBullet"/>
        <w:spacing w:before="0" w:after="50" w:line="276" w:lineRule="auto"/>
      </w:pPr>
      <w:r>
        <w:rPr>
          <w:rFonts w:ascii="Calibri" w:hAnsi="Calibri"/>
          <w:b/>
          <w:color w:val="1E293B"/>
          <w:sz w:val="20"/>
        </w:rPr>
        <w:t xml:space="preserve">2. Claims Audit Statement (claims-audit-report.html): </w:t>
      </w:r>
      <w:r>
        <w:rPr>
          <w:rFonts w:ascii="Calibri" w:hAnsi="Calibri"/>
          <w:color w:val="334155"/>
          <w:sz w:val="20"/>
        </w:rPr>
        <w:t>Transforms financial claims into an executive audit statement featuring total claimed vs. approved amounts in BWP, calculated co-payments, facility names, and adjudication outcome badges.</w:t>
      </w:r>
    </w:p>
    <w:p>
      <w:pPr>
        <w:pStyle w:val="Heading1"/>
        <w:keepNext/>
        <w:spacing w:before="280" w:after="80"/>
      </w:pPr>
      <w:r>
        <w:rPr>
          <w:rFonts w:ascii="Arial" w:hAnsi="Arial"/>
          <w:b/>
          <w:color w:val="0F294A"/>
          <w:sz w:val="30"/>
        </w:rPr>
        <w:t>7. Jakarta XML Binding (JAXB 4.0) Implementation</w:t>
      </w:r>
    </w:p>
    <w:p>
      <w:pPr>
        <w:spacing w:before="0" w:after="80" w:line="276" w:lineRule="auto"/>
      </w:pPr>
      <w:r>
        <w:rPr>
          <w:rFonts w:ascii="Calibri" w:hAnsi="Calibri"/>
          <w:color w:val="334155"/>
          <w:sz w:val="20"/>
        </w:rPr>
        <w:t>The system implements bidirectional object-relational XML data binding through JAXB 4.0 (`JaxbProcessor.java`):</w:t>
      </w:r>
    </w:p>
    <w:p>
      <w:pPr>
        <w:pStyle w:val="ListBullet"/>
        <w:spacing w:before="0" w:after="50" w:line="276" w:lineRule="auto"/>
      </w:pPr>
      <w:r>
        <w:rPr>
          <w:rFonts w:ascii="Calibri" w:hAnsi="Calibri"/>
          <w:b/>
          <w:color w:val="1E293B"/>
          <w:sz w:val="20"/>
        </w:rPr>
        <w:t xml:space="preserve">Unmarshalling: </w:t>
      </w:r>
      <w:r>
        <w:rPr>
          <w:rFonts w:ascii="Calibri" w:hAnsi="Calibri"/>
          <w:color w:val="334155"/>
          <w:sz w:val="20"/>
        </w:rPr>
        <w:t>Reads `healthcare-records.xml` and maps elements to strongly typed Java records/classes (`HealthcareDatabaseJaxb`, `MemberJaxb`, `ClaimJaxb`, `PlanJaxb`).</w:t>
      </w:r>
    </w:p>
    <w:p>
      <w:pPr>
        <w:pStyle w:val="ListBullet"/>
        <w:spacing w:before="0" w:after="50" w:line="276" w:lineRule="auto"/>
      </w:pPr>
      <w:r>
        <w:rPr>
          <w:rFonts w:ascii="Calibri" w:hAnsi="Calibri"/>
          <w:b/>
          <w:color w:val="1E293B"/>
          <w:sz w:val="20"/>
        </w:rPr>
        <w:t xml:space="preserve">Domain Mutation: </w:t>
      </w:r>
      <w:r>
        <w:rPr>
          <w:rFonts w:ascii="Calibri" w:hAnsi="Calibri"/>
          <w:color w:val="334155"/>
          <w:sz w:val="20"/>
        </w:rPr>
        <w:t>Allows programmatic manipulation of domain objects (e.g. approving a pending claim or updating member addresses) within standard Java business logic.</w:t>
      </w:r>
    </w:p>
    <w:p>
      <w:pPr>
        <w:pStyle w:val="ListBullet"/>
        <w:spacing w:before="0" w:after="50" w:line="276" w:lineRule="auto"/>
      </w:pPr>
      <w:r>
        <w:rPr>
          <w:rFonts w:ascii="Calibri" w:hAnsi="Calibri"/>
          <w:b/>
          <w:color w:val="1E293B"/>
          <w:sz w:val="20"/>
        </w:rPr>
        <w:t xml:space="preserve">Marshalling: </w:t>
      </w:r>
      <w:r>
        <w:rPr>
          <w:rFonts w:ascii="Calibri" w:hAnsi="Calibri"/>
          <w:color w:val="334155"/>
          <w:sz w:val="20"/>
        </w:rPr>
        <w:t>Serializes modified Java POJOs back into validated, indented XML documents preserving namespace declarations and XML declaration headers.</w:t>
      </w:r>
    </w:p>
    <w:p>
      <w:pPr>
        <w:pStyle w:val="Heading1"/>
        <w:keepNext/>
        <w:spacing w:before="280" w:after="80"/>
      </w:pPr>
      <w:r>
        <w:rPr>
          <w:rFonts w:ascii="Arial" w:hAnsi="Arial"/>
          <w:b/>
          <w:color w:val="0F294A"/>
          <w:sz w:val="30"/>
        </w:rPr>
        <w:t>8. How to Run the Project (Step-by-Step)</w:t>
      </w:r>
    </w:p>
    <w:p>
      <w:pPr>
        <w:spacing w:before="0" w:after="80" w:line="276" w:lineRule="auto"/>
      </w:pPr>
      <w:r>
        <w:rPr>
          <w:rFonts w:ascii="Calibri" w:hAnsi="Calibri"/>
          <w:color w:val="334155"/>
          <w:sz w:val="20"/>
        </w:rPr>
        <w:t>The project is packaged with automated test and run scripts for instant evaluation:</w:t>
      </w:r>
    </w:p>
    <w:p>
      <w:pPr>
        <w:pStyle w:val="Heading2"/>
        <w:keepNext/>
        <w:spacing w:before="200" w:after="80"/>
      </w:pPr>
      <w:r>
        <w:rPr>
          <w:rFonts w:ascii="Arial" w:hAnsi="Arial"/>
          <w:b/>
          <w:color w:val="1E6091"/>
          <w:sz w:val="25"/>
        </w:rPr>
        <w:t>8.1 Prerequisites</w:t>
      </w:r>
    </w:p>
    <w:p>
      <w:pPr>
        <w:pStyle w:val="ListBullet"/>
        <w:spacing w:before="0" w:after="50" w:line="276" w:lineRule="auto"/>
      </w:pPr>
      <w:r>
        <w:rPr>
          <w:rFonts w:ascii="Calibri" w:hAnsi="Calibri"/>
          <w:b/>
          <w:color w:val="1E293B"/>
          <w:sz w:val="20"/>
        </w:rPr>
        <w:t xml:space="preserve">JDK: </w:t>
      </w:r>
      <w:r>
        <w:rPr>
          <w:rFonts w:ascii="Calibri" w:hAnsi="Calibri"/>
          <w:color w:val="334155"/>
          <w:sz w:val="20"/>
        </w:rPr>
        <w:t>Java Development Kit (JDK) 21 or newer installed (e.g. Oracle JDK 21 / 27).</w:t>
      </w:r>
    </w:p>
    <w:p>
      <w:pPr>
        <w:pStyle w:val="ListBullet"/>
        <w:spacing w:before="0" w:after="50" w:line="276" w:lineRule="auto"/>
      </w:pPr>
      <w:r>
        <w:rPr>
          <w:rFonts w:ascii="Calibri" w:hAnsi="Calibri"/>
          <w:b/>
          <w:color w:val="1E293B"/>
          <w:sz w:val="20"/>
        </w:rPr>
        <w:t xml:space="preserve">Maven: </w:t>
      </w:r>
      <w:r>
        <w:rPr>
          <w:rFonts w:ascii="Calibri" w:hAnsi="Calibri"/>
          <w:color w:val="334155"/>
          <w:sz w:val="20"/>
        </w:rPr>
        <w:t>Apache Maven 3.8+ (or portable Maven located at scratch/apache-maven-3.9.9).</w:t>
      </w:r>
    </w:p>
    <w:p>
      <w:pPr>
        <w:pStyle w:val="Heading2"/>
        <w:keepNext/>
        <w:spacing w:before="200" w:after="80"/>
      </w:pPr>
      <w:r>
        <w:rPr>
          <w:rFonts w:ascii="Arial" w:hAnsi="Arial"/>
          <w:b/>
          <w:color w:val="1E6091"/>
          <w:sz w:val="25"/>
        </w:rPr>
        <w:t>8.2 Method 1: Running the Complete CLI Pipeline (Fastest)</w:t>
      </w:r>
    </w:p>
    <w:p>
      <w:pPr>
        <w:spacing w:before="0" w:after="80" w:line="276" w:lineRule="auto"/>
      </w:pPr>
      <w:r>
        <w:rPr>
          <w:rFonts w:ascii="Calibri" w:hAnsi="Calibri"/>
          <w:color w:val="334155"/>
          <w:sz w:val="20"/>
        </w:rPr>
        <w:t>Simply open the project folder in Windows Explorer and double-click the `run.bat` script, or run:</w:t>
      </w:r>
    </w:p>
    <w:tbl>
      <w:tblPr>
        <w:tblW w:type="auto" w:w="0"/>
        <w:jc w:val="center"/>
        <w:tblLayout w:type="fixed"/>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right w:val="single" w:sz="4" w:space="0" w:color="E2E8F0"/>
              <w:bottom w:val="single" w:sz="4" w:space="0" w:color="E2E8F0"/>
            </w:tcBorders>
          </w:tcPr>
          <w:p>
            <w:pPr>
              <w:spacing w:before="0" w:after="0" w:line="252" w:lineRule="auto"/>
            </w:pPr>
            <w:r>
              <w:rPr>
                <w:rFonts w:ascii="Consolas" w:hAnsi="Consolas"/>
                <w:color w:val="0F172A"/>
                <w:sz w:val="17"/>
              </w:rPr>
              <w:t>cd "C:\Users\Ookeditse Moekhwa\.gemini\antigravity\scratch\healthcare-xml-system"</w:t>
              <w:br/>
              <w:t>.\run.bat</w:t>
              <w:br/>
              <w:br/>
              <w:t># Or run the packaged executable fat JAR directly:</w:t>
              <w:br/>
              <w:t>java -jar target/healthcare-xml-system-1.0.0.jar --all</w:t>
            </w:r>
          </w:p>
        </w:tc>
      </w:tr>
    </w:tbl>
    <w:p>
      <w:pPr>
        <w:spacing w:before="0" w:after="60"/>
      </w:pPr>
    </w:p>
    <w:p>
      <w:pPr>
        <w:pStyle w:val="Heading2"/>
        <w:keepNext/>
        <w:spacing w:before="200" w:after="80"/>
      </w:pPr>
      <w:r>
        <w:rPr>
          <w:rFonts w:ascii="Arial" w:hAnsi="Arial"/>
          <w:b/>
          <w:color w:val="1E6091"/>
          <w:sz w:val="25"/>
        </w:rPr>
        <w:t>8.3 Modular Execution Flags</w:t>
      </w:r>
    </w:p>
    <w:p>
      <w:pPr>
        <w:spacing w:before="0" w:after="80" w:line="276" w:lineRule="auto"/>
      </w:pPr>
      <w:r>
        <w:rPr>
          <w:rFonts w:ascii="Calibri" w:hAnsi="Calibri"/>
          <w:color w:val="334155"/>
          <w:sz w:val="20"/>
        </w:rPr>
        <w:t>You can run specific phases of the XML pipeline using dedicated command-line flags:</w:t>
      </w:r>
    </w:p>
    <w:p>
      <w:pPr>
        <w:pStyle w:val="ListBullet"/>
        <w:spacing w:before="0" w:after="50" w:line="276" w:lineRule="auto"/>
      </w:pPr>
      <w:r>
        <w:rPr>
          <w:rFonts w:ascii="Calibri" w:hAnsi="Calibri"/>
          <w:b/>
          <w:color w:val="1E293B"/>
          <w:sz w:val="20"/>
        </w:rPr>
        <w:t xml:space="preserve">--validate: </w:t>
      </w:r>
      <w:r>
        <w:rPr>
          <w:rFonts w:ascii="Calibri" w:hAnsi="Calibri"/>
          <w:color w:val="334155"/>
          <w:sz w:val="20"/>
        </w:rPr>
        <w:t>Validates production healthcare-records.xml against healthcare-records.xsd.</w:t>
      </w:r>
    </w:p>
    <w:p>
      <w:pPr>
        <w:pStyle w:val="ListBullet"/>
        <w:spacing w:before="0" w:after="50" w:line="276" w:lineRule="auto"/>
      </w:pPr>
      <w:r>
        <w:rPr>
          <w:rFonts w:ascii="Calibri" w:hAnsi="Calibri"/>
          <w:b/>
          <w:color w:val="1E293B"/>
          <w:sz w:val="20"/>
        </w:rPr>
        <w:t xml:space="preserve">--diagnose-invalid: </w:t>
      </w:r>
      <w:r>
        <w:rPr>
          <w:rFonts w:ascii="Calibri" w:hAnsi="Calibri"/>
          <w:color w:val="334155"/>
          <w:sz w:val="20"/>
        </w:rPr>
        <w:t>Runs deliberate error diagnostics on invalid-records.xml and proves remediation with corrected-records.xml.</w:t>
      </w:r>
    </w:p>
    <w:p>
      <w:pPr>
        <w:pStyle w:val="ListBullet"/>
        <w:spacing w:before="0" w:after="50" w:line="276" w:lineRule="auto"/>
      </w:pPr>
      <w:r>
        <w:rPr>
          <w:rFonts w:ascii="Calibri" w:hAnsi="Calibri"/>
          <w:b/>
          <w:color w:val="1E293B"/>
          <w:sz w:val="20"/>
        </w:rPr>
        <w:t xml:space="preserve">--xpath: </w:t>
      </w:r>
      <w:r>
        <w:rPr>
          <w:rFonts w:ascii="Calibri" w:hAnsi="Calibri"/>
          <w:color w:val="334155"/>
          <w:sz w:val="20"/>
        </w:rPr>
        <w:t>Executes the 6-query XPath suite and outputs matching results to the terminal.</w:t>
      </w:r>
    </w:p>
    <w:p>
      <w:pPr>
        <w:pStyle w:val="ListBullet"/>
        <w:spacing w:before="0" w:after="50" w:line="276" w:lineRule="auto"/>
      </w:pPr>
      <w:r>
        <w:rPr>
          <w:rFonts w:ascii="Calibri" w:hAnsi="Calibri"/>
          <w:b/>
          <w:color w:val="1E293B"/>
          <w:sz w:val="20"/>
        </w:rPr>
        <w:t xml:space="preserve">--transform: </w:t>
      </w:r>
      <w:r>
        <w:rPr>
          <w:rFonts w:ascii="Calibri" w:hAnsi="Calibri"/>
          <w:color w:val="334155"/>
          <w:sz w:val="20"/>
        </w:rPr>
        <w:t>Compiles XSLT stylesheets and generates HTML reports into the target/reports directory.</w:t>
      </w:r>
    </w:p>
    <w:p>
      <w:pPr>
        <w:pStyle w:val="ListBullet"/>
        <w:spacing w:before="0" w:after="50" w:line="276" w:lineRule="auto"/>
      </w:pPr>
      <w:r>
        <w:rPr>
          <w:rFonts w:ascii="Calibri" w:hAnsi="Calibri"/>
          <w:b/>
          <w:color w:val="1E293B"/>
          <w:sz w:val="20"/>
        </w:rPr>
        <w:t xml:space="preserve">--jaxb: </w:t>
      </w:r>
      <w:r>
        <w:rPr>
          <w:rFonts w:ascii="Calibri" w:hAnsi="Calibri"/>
          <w:color w:val="334155"/>
          <w:sz w:val="20"/>
        </w:rPr>
        <w:t>Demonstrates JAXB unmarshalling, POJO object manipulation, and round-trip marshalling.</w:t>
      </w:r>
    </w:p>
    <w:p>
      <w:pPr>
        <w:pStyle w:val="ListBullet"/>
        <w:spacing w:before="0" w:after="50" w:line="276" w:lineRule="auto"/>
      </w:pPr>
      <w:r>
        <w:rPr>
          <w:rFonts w:ascii="Calibri" w:hAnsi="Calibri"/>
          <w:b/>
          <w:color w:val="1E293B"/>
          <w:sz w:val="20"/>
        </w:rPr>
        <w:t xml:space="preserve">--all: </w:t>
      </w:r>
      <w:r>
        <w:rPr>
          <w:rFonts w:ascii="Calibri" w:hAnsi="Calibri"/>
          <w:color w:val="334155"/>
          <w:sz w:val="20"/>
        </w:rPr>
        <w:t>Executes all 5 modules sequentially in a single end-to-end pipeline run.</w:t>
      </w:r>
    </w:p>
    <w:p>
      <w:pPr>
        <w:pStyle w:val="Heading2"/>
        <w:keepNext/>
        <w:spacing w:before="200" w:after="80"/>
      </w:pPr>
      <w:r>
        <w:rPr>
          <w:rFonts w:ascii="Arial" w:hAnsi="Arial"/>
          <w:b/>
          <w:color w:val="1E6091"/>
          <w:sz w:val="25"/>
        </w:rPr>
        <w:t>8.4 Method 2: Running Automated Unit Tests</w:t>
      </w:r>
    </w:p>
    <w:p>
      <w:pPr>
        <w:spacing w:before="0" w:after="80" w:line="276" w:lineRule="auto"/>
      </w:pPr>
      <w:r>
        <w:rPr>
          <w:rFonts w:ascii="Calibri" w:hAnsi="Calibri"/>
          <w:color w:val="334155"/>
          <w:sz w:val="20"/>
        </w:rPr>
        <w:t>Execute the JUnit 5 test suite via the helper batch script or Maven:</w:t>
      </w:r>
    </w:p>
    <w:tbl>
      <w:tblPr>
        <w:tblW w:type="auto" w:w="0"/>
        <w:jc w:val="center"/>
        <w:tblLayout w:type="fixed"/>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right w:val="single" w:sz="4" w:space="0" w:color="E2E8F0"/>
              <w:bottom w:val="single" w:sz="4" w:space="0" w:color="E2E8F0"/>
            </w:tcBorders>
          </w:tcPr>
          <w:p>
            <w:pPr>
              <w:spacing w:before="0" w:after="0" w:line="252" w:lineRule="auto"/>
            </w:pPr>
            <w:r>
              <w:rPr>
                <w:rFonts w:ascii="Consolas" w:hAnsi="Consolas"/>
                <w:color w:val="0F172A"/>
                <w:sz w:val="17"/>
              </w:rPr>
              <w:t>cd "C:\Users\Ookeditse Moekhwa\.gemini\antigravity\scratch\healthcare-xml-system"</w:t>
              <w:br/>
              <w:t>.\test.bat</w:t>
              <w:br/>
              <w:br/>
              <w:t># Or via Maven:</w:t>
              <w:br/>
              <w:t>mvn test</w:t>
            </w:r>
          </w:p>
        </w:tc>
      </w:tr>
    </w:tbl>
    <w:p>
      <w:pPr>
        <w:spacing w:before="0" w:after="60"/>
      </w:pPr>
    </w:p>
    <w:p>
      <w:pPr>
        <w:pStyle w:val="Heading1"/>
        <w:keepNext/>
        <w:spacing w:before="280" w:after="80"/>
      </w:pPr>
      <w:r>
        <w:rPr>
          <w:rFonts w:ascii="Arial" w:hAnsi="Arial"/>
          <w:b/>
          <w:color w:val="0F294A"/>
          <w:sz w:val="30"/>
        </w:rPr>
        <w:t>9. How to View the Results &amp; Generated Reports</w:t>
      </w:r>
    </w:p>
    <w:p>
      <w:pPr>
        <w:spacing w:before="0" w:after="80" w:line="276" w:lineRule="auto"/>
      </w:pPr>
      <w:r>
        <w:rPr>
          <w:rFonts w:ascii="Calibri" w:hAnsi="Calibri"/>
          <w:color w:val="334155"/>
          <w:sz w:val="20"/>
        </w:rPr>
        <w:t>Results can be viewed across three distinct presentation channels:</w:t>
      </w:r>
    </w:p>
    <w:p>
      <w:pPr>
        <w:pStyle w:val="Heading2"/>
        <w:keepNext/>
        <w:spacing w:before="200" w:after="80"/>
      </w:pPr>
      <w:r>
        <w:rPr>
          <w:rFonts w:ascii="Arial" w:hAnsi="Arial"/>
          <w:b/>
          <w:color w:val="1E6091"/>
          <w:sz w:val="25"/>
        </w:rPr>
        <w:t>9.1 Viewing Generated HTML Reports in a Web Browser</w:t>
      </w:r>
    </w:p>
    <w:p>
      <w:pPr>
        <w:spacing w:before="0" w:after="80" w:line="276" w:lineRule="auto"/>
      </w:pPr>
      <w:r>
        <w:rPr>
          <w:rFonts w:ascii="Calibri" w:hAnsi="Calibri"/>
          <w:color w:val="334155"/>
          <w:sz w:val="20"/>
        </w:rPr>
        <w:t>After running `--transform` or `--all`, open the generated HTML reports directly in any browser (Chrome, Edge, Firefox):</w:t>
      </w:r>
    </w:p>
    <w:p>
      <w:pPr>
        <w:pStyle w:val="ListBullet"/>
        <w:spacing w:before="0" w:after="50" w:line="276" w:lineRule="auto"/>
      </w:pPr>
      <w:r>
        <w:rPr>
          <w:rFonts w:ascii="Calibri" w:hAnsi="Calibri"/>
          <w:b/>
          <w:color w:val="1E293B"/>
          <w:sz w:val="20"/>
        </w:rPr>
        <w:t xml:space="preserve">1. Member Directory: </w:t>
      </w:r>
      <w:r>
        <w:rPr>
          <w:rFonts w:ascii="Calibri" w:hAnsi="Calibri"/>
          <w:color w:val="334155"/>
          <w:sz w:val="20"/>
        </w:rPr>
        <w:t>Double-click: C:\Users\Ookeditse Moekhwa\.gemini\antigravity\scratch\healthcare-xml-system\target\reports\member-directory.html</w:t>
        <w:br/>
        <w:t>Features: Responsive cards, Botswana Omang table, contact links, and active plan badges.</w:t>
      </w:r>
    </w:p>
    <w:p>
      <w:pPr>
        <w:pStyle w:val="ListBullet"/>
        <w:spacing w:before="0" w:after="50" w:line="276" w:lineRule="auto"/>
      </w:pPr>
      <w:r>
        <w:rPr>
          <w:rFonts w:ascii="Calibri" w:hAnsi="Calibri"/>
          <w:b/>
          <w:color w:val="1E293B"/>
          <w:sz w:val="20"/>
        </w:rPr>
        <w:t xml:space="preserve">2. Claims Audit Statement: </w:t>
      </w:r>
      <w:r>
        <w:rPr>
          <w:rFonts w:ascii="Calibri" w:hAnsi="Calibri"/>
          <w:color w:val="334155"/>
          <w:sz w:val="20"/>
        </w:rPr>
        <w:t>Double-click: C:\Users\Ookeditse Moekhwa\.gemini\antigravity\scratch\healthcare-xml-system\target\reports\claims-audit-report.html</w:t>
        <w:br/>
        <w:t>Features: Financial audit statement, BWP claimed vs approved sums, member co-payment calculations, and hospital provider details.</w:t>
      </w:r>
    </w:p>
    <w:p>
      <w:pPr>
        <w:pStyle w:val="Heading2"/>
        <w:keepNext/>
        <w:spacing w:before="200" w:after="80"/>
      </w:pPr>
      <w:r>
        <w:rPr>
          <w:rFonts w:ascii="Arial" w:hAnsi="Arial"/>
          <w:b/>
          <w:color w:val="1E6091"/>
          <w:sz w:val="25"/>
        </w:rPr>
        <w:t>9.2 Viewing Terminal Diagnostic Outputs</w:t>
      </w:r>
    </w:p>
    <w:p>
      <w:pPr>
        <w:spacing w:before="0" w:after="80" w:line="276" w:lineRule="auto"/>
      </w:pPr>
      <w:r>
        <w:rPr>
          <w:rFonts w:ascii="Calibri" w:hAnsi="Calibri"/>
          <w:color w:val="334155"/>
          <w:sz w:val="20"/>
        </w:rPr>
        <w:t>When executed from the command prompt, the application outputs formatted diagnostic banners and tabular logs:</w:t>
      </w:r>
    </w:p>
    <w:p>
      <w:pPr>
        <w:pStyle w:val="ListBullet"/>
        <w:spacing w:before="0" w:after="50" w:line="276" w:lineRule="auto"/>
      </w:pPr>
      <w:r>
        <w:rPr>
          <w:rFonts w:ascii="Calibri" w:hAnsi="Calibri"/>
          <w:b/>
          <w:color w:val="1E293B"/>
          <w:sz w:val="20"/>
        </w:rPr>
        <w:t xml:space="preserve">Schema Validation: </w:t>
      </w:r>
      <w:r>
        <w:rPr>
          <w:rFonts w:ascii="Calibri" w:hAnsi="Calibri"/>
          <w:color w:val="334155"/>
          <w:sz w:val="20"/>
        </w:rPr>
        <w:t>Confirms schema compilation and schema validation pass.</w:t>
      </w:r>
    </w:p>
    <w:p>
      <w:pPr>
        <w:pStyle w:val="ListBullet"/>
        <w:spacing w:before="0" w:after="50" w:line="276" w:lineRule="auto"/>
      </w:pPr>
      <w:r>
        <w:rPr>
          <w:rFonts w:ascii="Calibri" w:hAnsi="Calibri"/>
          <w:b/>
          <w:color w:val="1E293B"/>
          <w:sz w:val="20"/>
        </w:rPr>
        <w:t xml:space="preserve">Error Diagnostics: </w:t>
      </w:r>
      <w:r>
        <w:rPr>
          <w:rFonts w:ascii="Calibri" w:hAnsi="Calibri"/>
          <w:color w:val="334155"/>
          <w:sz w:val="20"/>
        </w:rPr>
        <w:t>Displays red/yellow diagnostic callouts pinpointing exact lines and column offsets for invalid data.</w:t>
      </w:r>
    </w:p>
    <w:p>
      <w:pPr>
        <w:pStyle w:val="ListBullet"/>
        <w:spacing w:before="0" w:after="50" w:line="276" w:lineRule="auto"/>
      </w:pPr>
      <w:r>
        <w:rPr>
          <w:rFonts w:ascii="Calibri" w:hAnsi="Calibri"/>
          <w:b/>
          <w:color w:val="1E293B"/>
          <w:sz w:val="20"/>
        </w:rPr>
        <w:t xml:space="preserve">XPath Results: </w:t>
      </w:r>
      <w:r>
        <w:rPr>
          <w:rFonts w:ascii="Calibri" w:hAnsi="Calibri"/>
          <w:color w:val="334155"/>
          <w:sz w:val="20"/>
        </w:rPr>
        <w:t>Outputs formatted node counts, member names, and financial totals computed by XPath.</w:t>
      </w:r>
    </w:p>
    <w:p>
      <w:pPr>
        <w:pStyle w:val="ListBullet"/>
        <w:spacing w:before="0" w:after="50" w:line="276" w:lineRule="auto"/>
      </w:pPr>
      <w:r>
        <w:rPr>
          <w:rFonts w:ascii="Calibri" w:hAnsi="Calibri"/>
          <w:b/>
          <w:color w:val="1E293B"/>
          <w:sz w:val="20"/>
        </w:rPr>
        <w:t xml:space="preserve">JAXB Exchange: </w:t>
      </w:r>
      <w:r>
        <w:rPr>
          <w:rFonts w:ascii="Calibri" w:hAnsi="Calibri"/>
          <w:color w:val="334155"/>
          <w:sz w:val="20"/>
        </w:rPr>
        <w:t>Prints unmarshalled Java object properties and confirms serialized XML generation.</w:t>
      </w:r>
    </w:p>
    <w:p>
      <w:pPr>
        <w:pStyle w:val="Heading2"/>
        <w:keepNext/>
        <w:spacing w:before="200" w:after="80"/>
      </w:pPr>
      <w:r>
        <w:rPr>
          <w:rFonts w:ascii="Arial" w:hAnsi="Arial"/>
          <w:b/>
          <w:color w:val="1E6091"/>
          <w:sz w:val="25"/>
        </w:rPr>
        <w:t>9.3 Viewing JUnit Surefire Test Reports</w:t>
      </w:r>
    </w:p>
    <w:p>
      <w:pPr>
        <w:spacing w:before="0" w:after="80" w:line="276" w:lineRule="auto"/>
      </w:pPr>
      <w:r>
        <w:rPr>
          <w:rFonts w:ascii="Calibri" w:hAnsi="Calibri"/>
          <w:color w:val="334155"/>
          <w:sz w:val="20"/>
        </w:rPr>
        <w:t>Detailed test execution logs and XML reports are automatically stored in:</w:t>
      </w:r>
    </w:p>
    <w:tbl>
      <w:tblPr>
        <w:tblW w:type="auto" w:w="0"/>
        <w:jc w:val="center"/>
        <w:tblLayout w:type="fixed"/>
        <w:tblLook w:firstColumn="1" w:firstRow="1" w:lastColumn="0" w:lastRow="0" w:noHBand="0" w:noVBand="1" w:val="04A0"/>
      </w:tblPr>
      <w:tblGrid>
        <w:gridCol w:w="9360"/>
      </w:tblGrid>
      <w:tr>
        <w:tc>
          <w:tcPr>
            <w:tcW w:type="dxa" w:w="9360"/>
            <w:shd w:fill="F8FAFC"/>
            <w:tcMar>
              <w:top w:w="90" w:type="dxa"/>
              <w:bottom w:w="90" w:type="dxa"/>
              <w:left w:w="140" w:type="dxa"/>
              <w:right w:w="140" w:type="dxa"/>
            </w:tcMar>
            <w:tcBorders>
              <w:left w:val="single" w:sz="12" w:space="0" w:color="94A3B8"/>
              <w:top w:val="single" w:sz="4" w:space="0" w:color="E2E8F0"/>
              <w:right w:val="single" w:sz="4" w:space="0" w:color="E2E8F0"/>
              <w:bottom w:val="single" w:sz="4" w:space="0" w:color="E2E8F0"/>
            </w:tcBorders>
          </w:tcPr>
          <w:p>
            <w:pPr>
              <w:spacing w:before="0" w:after="0" w:line="252" w:lineRule="auto"/>
            </w:pPr>
            <w:r>
              <w:rPr>
                <w:rFonts w:ascii="Consolas" w:hAnsi="Consolas"/>
                <w:color w:val="0F172A"/>
                <w:sz w:val="17"/>
              </w:rPr>
              <w:t>Location: C:\Users\Ookeditse Moekhwa\.gemini\antigravity\scratch\healthcare-xml-system\target\surefire-reports\</w:t>
              <w:br/>
              <w:t>Contains XML and TXT test summaries proving 100% test pass rate.</w:t>
            </w:r>
          </w:p>
        </w:tc>
      </w:tr>
    </w:tbl>
    <w:p>
      <w:pPr>
        <w:spacing w:before="0" w:after="60"/>
      </w:pPr>
    </w:p>
    <w:p>
      <w:pPr>
        <w:pStyle w:val="Heading1"/>
        <w:keepNext/>
        <w:spacing w:before="280" w:after="80"/>
      </w:pPr>
      <w:r>
        <w:rPr>
          <w:rFonts w:ascii="Arial" w:hAnsi="Arial"/>
          <w:b/>
          <w:color w:val="0F294A"/>
          <w:sz w:val="30"/>
        </w:rPr>
        <w:t>10. Automated Testing &amp; Quality Assurance</w:t>
      </w:r>
    </w:p>
    <w:p>
      <w:pPr>
        <w:spacing w:before="0" w:after="80" w:line="276" w:lineRule="auto"/>
      </w:pPr>
      <w:r>
        <w:rPr>
          <w:rFonts w:ascii="Calibri" w:hAnsi="Calibri"/>
          <w:color w:val="334155"/>
          <w:sz w:val="20"/>
        </w:rPr>
        <w:t>The test suite includes 12 automated unit tests across 4 dedicated test classes:</w:t>
      </w:r>
    </w:p>
    <w:tbl>
      <w:tblPr>
        <w:tblW w:type="auto" w:w="0"/>
        <w:tblLayout w:type="fixed"/>
        <w:tblLook w:firstColumn="1" w:firstRow="1" w:lastColumn="0" w:lastRow="0" w:noHBand="0" w:noVBand="1" w:val="04A0"/>
        <w:jc w:val="center"/>
        <w:tblBorders>
          <w:top w:val="single" w:sz="4" w:space="0" w:color="CBD5E1"/>
          <w:bottom w:val="single" w:sz="4" w:space="0" w:color="CBD5E1"/>
          <w:insideH w:val="single" w:sz="4" w:space="0" w:color="CBD5E1"/>
          <w:insideV w:val="none"/>
          <w:left w:val="none"/>
          <w:right w:val="none"/>
        </w:tblBorders>
      </w:tblPr>
      <w:tblGrid>
        <w:gridCol w:w="3120"/>
        <w:gridCol w:w="3120"/>
        <w:gridCol w:w="3120"/>
      </w:tblGrid>
      <w:tr>
        <w:tc>
          <w:tcPr>
            <w:tcW w:type="dxa" w:w="2880"/>
            <w:shd w:fill="0F294A"/>
            <w:tcMar>
              <w:top w:w="100" w:type="dxa"/>
              <w:bottom w:w="100" w:type="dxa"/>
              <w:left w:w="120" w:type="dxa"/>
              <w:right w:w="120" w:type="dxa"/>
            </w:tcMar>
          </w:tcPr>
          <w:p>
            <w:pPr>
              <w:spacing w:before="0" w:after="0"/>
            </w:pPr>
            <w:r>
              <w:rPr>
                <w:rFonts w:ascii="Arial" w:hAnsi="Arial"/>
                <w:b/>
                <w:color w:val="FFFFFF"/>
                <w:sz w:val="18"/>
              </w:rPr>
              <w:t>Test Class</w:t>
            </w:r>
          </w:p>
        </w:tc>
        <w:tc>
          <w:tcPr>
            <w:tcW w:type="dxa" w:w="1440"/>
            <w:shd w:fill="0F294A"/>
            <w:tcMar>
              <w:top w:w="100" w:type="dxa"/>
              <w:bottom w:w="100" w:type="dxa"/>
              <w:left w:w="120" w:type="dxa"/>
              <w:right w:w="120" w:type="dxa"/>
            </w:tcMar>
          </w:tcPr>
          <w:p>
            <w:pPr>
              <w:spacing w:before="0" w:after="0"/>
            </w:pPr>
            <w:r>
              <w:rPr>
                <w:rFonts w:ascii="Arial" w:hAnsi="Arial"/>
                <w:b/>
                <w:color w:val="FFFFFF"/>
                <w:sz w:val="18"/>
              </w:rPr>
              <w:t>Test Count</w:t>
            </w:r>
          </w:p>
        </w:tc>
        <w:tc>
          <w:tcPr>
            <w:tcW w:type="dxa" w:w="5040"/>
            <w:shd w:fill="0F294A"/>
            <w:tcMar>
              <w:top w:w="100" w:type="dxa"/>
              <w:bottom w:w="100" w:type="dxa"/>
              <w:left w:w="120" w:type="dxa"/>
              <w:right w:w="120" w:type="dxa"/>
            </w:tcMar>
          </w:tcPr>
          <w:p>
            <w:pPr>
              <w:spacing w:before="0" w:after="0"/>
            </w:pPr>
            <w:r>
              <w:rPr>
                <w:rFonts w:ascii="Arial" w:hAnsi="Arial"/>
                <w:b/>
                <w:color w:val="FFFFFF"/>
                <w:sz w:val="18"/>
              </w:rPr>
              <w:t>Testing Scope &amp; Assertions</w:t>
            </w:r>
          </w:p>
        </w:tc>
      </w:tr>
      <w:tr>
        <w:tc>
          <w:tcPr>
            <w:tcW w:type="dxa" w:w="2880"/>
            <w:shd w:fill="FFFFFF"/>
            <w:tcMar>
              <w:top w:w="70" w:type="dxa"/>
              <w:bottom w:w="70" w:type="dxa"/>
              <w:left w:w="120" w:type="dxa"/>
              <w:right w:w="120" w:type="dxa"/>
            </w:tcMar>
          </w:tcPr>
          <w:p>
            <w:pPr>
              <w:spacing w:before="0" w:after="0" w:line="276" w:lineRule="auto"/>
            </w:pPr>
            <w:r>
              <w:rPr>
                <w:rFonts w:ascii="Calibri" w:hAnsi="Calibri"/>
                <w:color w:val="334155"/>
                <w:sz w:val="18"/>
              </w:rPr>
              <w:t>XmlSchemaValidatorTest</w:t>
            </w:r>
          </w:p>
        </w:tc>
        <w:tc>
          <w:tcPr>
            <w:tcW w:type="dxa" w:w="1440"/>
            <w:shd w:fill="FFFFFF"/>
            <w:tcMar>
              <w:top w:w="70" w:type="dxa"/>
              <w:bottom w:w="70" w:type="dxa"/>
              <w:left w:w="120" w:type="dxa"/>
              <w:right w:w="120" w:type="dxa"/>
            </w:tcMar>
          </w:tcPr>
          <w:p>
            <w:pPr>
              <w:spacing w:before="0" w:after="0" w:line="276" w:lineRule="auto"/>
            </w:pPr>
            <w:r>
              <w:rPr>
                <w:rFonts w:ascii="Calibri" w:hAnsi="Calibri"/>
                <w:color w:val="334155"/>
                <w:sz w:val="18"/>
              </w:rPr>
              <w:t>3 Tests</w:t>
            </w:r>
          </w:p>
        </w:tc>
        <w:tc>
          <w:tcPr>
            <w:tcW w:type="dxa" w:w="5040"/>
            <w:shd w:fill="FFFFFF"/>
            <w:tcMar>
              <w:top w:w="70" w:type="dxa"/>
              <w:bottom w:w="70" w:type="dxa"/>
              <w:left w:w="120" w:type="dxa"/>
              <w:right w:w="120" w:type="dxa"/>
            </w:tcMar>
          </w:tcPr>
          <w:p>
            <w:pPr>
              <w:spacing w:before="0" w:after="0" w:line="276" w:lineRule="auto"/>
            </w:pPr>
            <w:r>
              <w:rPr>
                <w:rFonts w:ascii="Calibri" w:hAnsi="Calibri"/>
                <w:color w:val="334155"/>
                <w:sz w:val="18"/>
              </w:rPr>
              <w:t>Validates that valid records pass cleanly, verifies that all 9 deliberate errors in invalid-records.xml are intercepted with proper SAX messages, and proves corrected records pass.</w:t>
            </w:r>
          </w:p>
        </w:tc>
      </w:tr>
      <w:tr>
        <w:tc>
          <w:tcPr>
            <w:tcW w:type="dxa" w:w="2880"/>
            <w:shd w:fill="F8FAFC"/>
            <w:tcMar>
              <w:top w:w="70" w:type="dxa"/>
              <w:bottom w:w="70" w:type="dxa"/>
              <w:left w:w="120" w:type="dxa"/>
              <w:right w:w="120" w:type="dxa"/>
            </w:tcMar>
          </w:tcPr>
          <w:p>
            <w:pPr>
              <w:spacing w:before="0" w:after="0" w:line="276" w:lineRule="auto"/>
            </w:pPr>
            <w:r>
              <w:rPr>
                <w:rFonts w:ascii="Calibri" w:hAnsi="Calibri"/>
                <w:color w:val="334155"/>
                <w:sz w:val="18"/>
              </w:rPr>
              <w:t>XPathQueryEngineTest</w:t>
            </w:r>
          </w:p>
        </w:tc>
        <w:tc>
          <w:tcPr>
            <w:tcW w:type="dxa" w:w="1440"/>
            <w:shd w:fill="F8FAFC"/>
            <w:tcMar>
              <w:top w:w="70" w:type="dxa"/>
              <w:bottom w:w="70" w:type="dxa"/>
              <w:left w:w="120" w:type="dxa"/>
              <w:right w:w="120" w:type="dxa"/>
            </w:tcMar>
          </w:tcPr>
          <w:p>
            <w:pPr>
              <w:spacing w:before="0" w:after="0" w:line="276" w:lineRule="auto"/>
            </w:pPr>
            <w:r>
              <w:rPr>
                <w:rFonts w:ascii="Calibri" w:hAnsi="Calibri"/>
                <w:color w:val="334155"/>
                <w:sz w:val="18"/>
              </w:rPr>
              <w:t>5 Tests</w:t>
            </w:r>
          </w:p>
        </w:tc>
        <w:tc>
          <w:tcPr>
            <w:tcW w:type="dxa" w:w="5040"/>
            <w:shd w:fill="F8FAFC"/>
            <w:tcMar>
              <w:top w:w="70" w:type="dxa"/>
              <w:bottom w:w="70" w:type="dxa"/>
              <w:left w:w="120" w:type="dxa"/>
              <w:right w:w="120" w:type="dxa"/>
            </w:tcMar>
          </w:tcPr>
          <w:p>
            <w:pPr>
              <w:spacing w:before="0" w:after="0" w:line="276" w:lineRule="auto"/>
            </w:pPr>
            <w:r>
              <w:rPr>
                <w:rFonts w:ascii="Calibri" w:hAnsi="Calibri"/>
                <w:color w:val="334155"/>
                <w:sz w:val="18"/>
              </w:rPr>
              <w:t>Asserts nodeset sizes for Executive plans, validates numeric comparisons (&gt; BWP 1,000), tests string matching, and verifies exact sum() aggregation values.</w:t>
            </w:r>
          </w:p>
        </w:tc>
      </w:tr>
      <w:tr>
        <w:tc>
          <w:tcPr>
            <w:tcW w:type="dxa" w:w="2880"/>
            <w:shd w:fill="FFFFFF"/>
            <w:tcMar>
              <w:top w:w="70" w:type="dxa"/>
              <w:bottom w:w="70" w:type="dxa"/>
              <w:left w:w="120" w:type="dxa"/>
              <w:right w:w="120" w:type="dxa"/>
            </w:tcMar>
          </w:tcPr>
          <w:p>
            <w:pPr>
              <w:spacing w:before="0" w:after="0" w:line="276" w:lineRule="auto"/>
            </w:pPr>
            <w:r>
              <w:rPr>
                <w:rFonts w:ascii="Calibri" w:hAnsi="Calibri"/>
                <w:color w:val="334155"/>
                <w:sz w:val="18"/>
              </w:rPr>
              <w:t>XsltTransformerTest</w:t>
            </w:r>
          </w:p>
        </w:tc>
        <w:tc>
          <w:tcPr>
            <w:tcW w:type="dxa" w:w="1440"/>
            <w:shd w:fill="FFFFFF"/>
            <w:tcMar>
              <w:top w:w="70" w:type="dxa"/>
              <w:bottom w:w="70" w:type="dxa"/>
              <w:left w:w="120" w:type="dxa"/>
              <w:right w:w="120" w:type="dxa"/>
            </w:tcMar>
          </w:tcPr>
          <w:p>
            <w:pPr>
              <w:spacing w:before="0" w:after="0" w:line="276" w:lineRule="auto"/>
            </w:pPr>
            <w:r>
              <w:rPr>
                <w:rFonts w:ascii="Calibri" w:hAnsi="Calibri"/>
                <w:color w:val="334155"/>
                <w:sz w:val="18"/>
              </w:rPr>
              <w:t>2 Tests</w:t>
            </w:r>
          </w:p>
        </w:tc>
        <w:tc>
          <w:tcPr>
            <w:tcW w:type="dxa" w:w="5040"/>
            <w:shd w:fill="FFFFFF"/>
            <w:tcMar>
              <w:top w:w="70" w:type="dxa"/>
              <w:bottom w:w="70" w:type="dxa"/>
              <w:left w:w="120" w:type="dxa"/>
              <w:right w:w="120" w:type="dxa"/>
            </w:tcMar>
          </w:tcPr>
          <w:p>
            <w:pPr>
              <w:spacing w:before="0" w:after="0" w:line="276" w:lineRule="auto"/>
            </w:pPr>
            <w:r>
              <w:rPr>
                <w:rFonts w:ascii="Calibri" w:hAnsi="Calibri"/>
                <w:color w:val="334155"/>
                <w:sz w:val="18"/>
              </w:rPr>
              <w:t>Validates that XSLT correctly transforms XML payloads into well-formed HTML documents and verifies essential styling tags and table structures exist.</w:t>
            </w:r>
          </w:p>
        </w:tc>
      </w:tr>
      <w:tr>
        <w:tc>
          <w:tcPr>
            <w:tcW w:type="dxa" w:w="2880"/>
            <w:shd w:fill="F8FAFC"/>
            <w:tcMar>
              <w:top w:w="70" w:type="dxa"/>
              <w:bottom w:w="70" w:type="dxa"/>
              <w:left w:w="120" w:type="dxa"/>
              <w:right w:w="120" w:type="dxa"/>
            </w:tcMar>
          </w:tcPr>
          <w:p>
            <w:pPr>
              <w:spacing w:before="0" w:after="0" w:line="276" w:lineRule="auto"/>
            </w:pPr>
            <w:r>
              <w:rPr>
                <w:rFonts w:ascii="Calibri" w:hAnsi="Calibri"/>
                <w:color w:val="334155"/>
                <w:sz w:val="18"/>
              </w:rPr>
              <w:t>JaxbProcessorTest</w:t>
            </w:r>
          </w:p>
        </w:tc>
        <w:tc>
          <w:tcPr>
            <w:tcW w:type="dxa" w:w="1440"/>
            <w:shd w:fill="F8FAFC"/>
            <w:tcMar>
              <w:top w:w="70" w:type="dxa"/>
              <w:bottom w:w="70" w:type="dxa"/>
              <w:left w:w="120" w:type="dxa"/>
              <w:right w:w="120" w:type="dxa"/>
            </w:tcMar>
          </w:tcPr>
          <w:p>
            <w:pPr>
              <w:spacing w:before="0" w:after="0" w:line="276" w:lineRule="auto"/>
            </w:pPr>
            <w:r>
              <w:rPr>
                <w:rFonts w:ascii="Calibri" w:hAnsi="Calibri"/>
                <w:color w:val="334155"/>
                <w:sz w:val="18"/>
              </w:rPr>
              <w:t>2 Tests</w:t>
            </w:r>
          </w:p>
        </w:tc>
        <w:tc>
          <w:tcPr>
            <w:tcW w:type="dxa" w:w="5040"/>
            <w:shd w:fill="F8FAFC"/>
            <w:tcMar>
              <w:top w:w="70" w:type="dxa"/>
              <w:bottom w:w="70" w:type="dxa"/>
              <w:left w:w="120" w:type="dxa"/>
              <w:right w:w="120" w:type="dxa"/>
            </w:tcMar>
          </w:tcPr>
          <w:p>
            <w:pPr>
              <w:spacing w:before="0" w:after="0" w:line="276" w:lineRule="auto"/>
            </w:pPr>
            <w:r>
              <w:rPr>
                <w:rFonts w:ascii="Calibri" w:hAnsi="Calibri"/>
                <w:color w:val="334155"/>
                <w:sz w:val="18"/>
              </w:rPr>
              <w:t>Tests unmarshalling of complex XML hierarchies into Java objects, modifies in-memory state, and verifies lossless round-trip XML serialization.</w:t>
            </w:r>
          </w:p>
        </w:tc>
      </w:tr>
    </w:tbl>
    <w:p>
      <w:pPr>
        <w:spacing w:after="80"/>
      </w:pPr>
    </w:p>
    <w:p>
      <w:pPr>
        <w:pStyle w:val="Heading1"/>
        <w:keepNext/>
        <w:spacing w:before="280" w:after="80"/>
      </w:pPr>
      <w:r>
        <w:rPr>
          <w:rFonts w:ascii="Arial" w:hAnsi="Arial"/>
          <w:b/>
          <w:color w:val="0F294A"/>
          <w:sz w:val="30"/>
        </w:rPr>
        <w:t>11. Portfolio &amp; CV Project Description</w:t>
      </w:r>
    </w:p>
    <w:p>
      <w:pPr>
        <w:spacing w:before="0" w:after="80" w:line="276" w:lineRule="auto"/>
      </w:pPr>
      <w:r>
        <w:rPr>
          <w:rFonts w:ascii="Calibri" w:hAnsi="Calibri"/>
          <w:color w:val="334155"/>
          <w:sz w:val="20"/>
        </w:rPr>
        <w:t>Use the following executive summary and bullet points on your CV or LinkedIn portfolio to highlight your XML data engineering expertise:</w:t>
      </w:r>
    </w:p>
    <w:tbl>
      <w:tblPr>
        <w:tblW w:type="auto" w:w="0"/>
        <w:jc w:val="center"/>
        <w:tblLayout w:type="fixed"/>
        <w:tblLook w:firstColumn="1" w:firstRow="1" w:lastColumn="0" w:lastRow="0" w:noHBand="0" w:noVBand="1" w:val="04A0"/>
      </w:tblPr>
      <w:tblGrid>
        <w:gridCol w:w="9360"/>
      </w:tblGrid>
      <w:tr>
        <w:tc>
          <w:tcPr>
            <w:tcW w:type="dxa" w:w="9360"/>
            <w:shd w:fill="F0F9FF"/>
            <w:tcMar>
              <w:top w:w="100" w:type="dxa"/>
              <w:bottom w:w="100" w:type="dxa"/>
              <w:left w:w="160" w:type="dxa"/>
              <w:right w:w="160" w:type="dxa"/>
            </w:tcMar>
            <w:tcBorders>
              <w:left w:val="single" w:sz="20" w:space="0" w:color="0284C7"/>
              <w:top w:val="none"/>
              <w:right w:val="none"/>
              <w:bottom w:val="none"/>
            </w:tcBorders>
          </w:tcPr>
          <w:p>
            <w:pPr>
              <w:spacing w:before="0" w:after="0" w:line="276" w:lineRule="auto"/>
            </w:pPr>
            <w:r>
              <w:rPr>
                <w:rFonts w:ascii="Calibri" w:hAnsi="Calibri"/>
                <w:b/>
                <w:color w:val="0369A1"/>
                <w:sz w:val="19"/>
              </w:rPr>
              <w:t xml:space="preserve">CV Bullet Points (Ready to Copy): </w:t>
            </w:r>
            <w:r>
              <w:rPr>
                <w:rFonts w:ascii="Calibri" w:hAnsi="Calibri"/>
                <w:color w:val="075985"/>
                <w:sz w:val="19"/>
              </w:rPr>
              <w:t>Healthcare Records XML Validation &amp; Transformation System | Java 21, XSD, XPath, XSLT, JAXB 4.0</w:t>
              <w:br/>
              <w:t>• Architected an enterprise XML data validation and exchange engine for healthcare records localized for Botswana (BWP currency, 9-digit Omang IDs, BHPC hospital codes).</w:t>
              <w:br/>
              <w:t>• Engineered comprehensive W3C XML Schemas (XSD 1.0) with custom simple types, regex facets, enumeration restrictions, and xs:key/xs:keyref relational integrity.</w:t>
              <w:br/>
              <w:t>• Implemented automated defect detection and quarantine using JAXP SchemaFactory and SAX ErrorHandlers to capture line/column offsets and violation rules.</w:t>
              <w:br/>
              <w:t>• Developed high-performance XPath 2.0 query engines with custom namespace resolvers for multi-criteria record filtering and aggregate calculations.</w:t>
              <w:br/>
              <w:t>• Authored responsive XSLT 1.0 stylesheets compiling raw XML databases into executive HTML Member Directories and Claims Financial Audit Statements.</w:t>
              <w:br/>
              <w:t>• Integrated Jakarta XML Binding (JAXB 4.0) for seamless bidirectional object-to-XML mapping, enabling programmatic record manipulation and round-trip marshalling.</w:t>
            </w:r>
          </w:p>
        </w:tc>
      </w:tr>
    </w:tbl>
    <w:p>
      <w:pPr>
        <w:spacing w:before="0" w:after="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