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7528F" w14:textId="77777777" w:rsidR="00EB57EC" w:rsidRPr="00CD6B2D" w:rsidRDefault="00EB57EC" w:rsidP="00B85874">
      <w:pPr>
        <w:spacing w:after="240" w:line="276" w:lineRule="auto"/>
        <w:jc w:val="center"/>
        <w:rPr>
          <w:rFonts w:ascii="Arial" w:hAnsi="Arial" w:cs="Arial"/>
          <w:b/>
          <w:bCs/>
        </w:rPr>
      </w:pPr>
      <w:r w:rsidRPr="00CD6B2D">
        <w:rPr>
          <w:rFonts w:ascii="Arial" w:hAnsi="Arial" w:cs="Arial"/>
          <w:b/>
          <w:bCs/>
        </w:rPr>
        <w:t>Functional differences in muscle architecture across the pelvis and lower limb of primates</w:t>
      </w:r>
    </w:p>
    <w:p w14:paraId="49ABE87E" w14:textId="0654D97E" w:rsidR="00EB57EC" w:rsidRPr="00CD6B2D" w:rsidRDefault="00EB57EC" w:rsidP="00B85874">
      <w:pPr>
        <w:jc w:val="center"/>
        <w:rPr>
          <w:rFonts w:ascii="Arial" w:hAnsi="Arial" w:cs="Arial"/>
          <w:b/>
          <w:bCs/>
        </w:rPr>
      </w:pPr>
      <w:r w:rsidRPr="00CD6B2D">
        <w:rPr>
          <w:rFonts w:ascii="Arial" w:hAnsi="Arial" w:cs="Arial"/>
          <w:b/>
          <w:bCs/>
        </w:rPr>
        <w:t xml:space="preserve">Supplementary Information </w:t>
      </w:r>
      <w:r w:rsidR="00F32C8C">
        <w:rPr>
          <w:rFonts w:ascii="Arial" w:hAnsi="Arial" w:cs="Arial"/>
          <w:b/>
          <w:bCs/>
        </w:rPr>
        <w:t>2</w:t>
      </w:r>
    </w:p>
    <w:p w14:paraId="3CDEC803" w14:textId="77777777" w:rsidR="00EB57EC" w:rsidRPr="00CD6B2D" w:rsidRDefault="00EB57EC" w:rsidP="00047BC6">
      <w:pPr>
        <w:spacing w:after="240" w:line="276" w:lineRule="auto"/>
        <w:jc w:val="both"/>
        <w:rPr>
          <w:rFonts w:ascii="Arial" w:hAnsi="Arial" w:cs="Arial"/>
          <w:b/>
          <w:bCs/>
        </w:rPr>
      </w:pPr>
    </w:p>
    <w:p w14:paraId="66070C64" w14:textId="77777777" w:rsidR="00EB57EC" w:rsidRPr="00CD6B2D" w:rsidRDefault="00EB57EC" w:rsidP="00B85874">
      <w:pPr>
        <w:spacing w:after="240" w:line="276" w:lineRule="auto"/>
        <w:jc w:val="center"/>
        <w:rPr>
          <w:rFonts w:ascii="Arial" w:hAnsi="Arial" w:cs="Arial"/>
          <w:vertAlign w:val="superscript"/>
        </w:rPr>
      </w:pPr>
      <w:r w:rsidRPr="00CD6B2D">
        <w:rPr>
          <w:rFonts w:ascii="Arial" w:hAnsi="Arial" w:cs="Arial"/>
        </w:rPr>
        <w:t>Emma Guimaeres</w:t>
      </w:r>
      <w:r w:rsidRPr="00CD6B2D">
        <w:rPr>
          <w:rFonts w:ascii="Arial" w:hAnsi="Arial" w:cs="Arial"/>
          <w:vertAlign w:val="superscript"/>
        </w:rPr>
        <w:t>1</w:t>
      </w:r>
      <w:r w:rsidRPr="00CD6B2D">
        <w:rPr>
          <w:rFonts w:ascii="Arial" w:hAnsi="Arial" w:cs="Arial"/>
        </w:rPr>
        <w:t>, Evie Vereecke</w:t>
      </w:r>
      <w:r w:rsidRPr="00CD6B2D">
        <w:rPr>
          <w:rFonts w:ascii="Arial" w:hAnsi="Arial" w:cs="Arial"/>
          <w:vertAlign w:val="superscript"/>
        </w:rPr>
        <w:t>2</w:t>
      </w:r>
      <w:r w:rsidRPr="00CD6B2D">
        <w:rPr>
          <w:rFonts w:ascii="Arial" w:hAnsi="Arial" w:cs="Arial"/>
        </w:rPr>
        <w:t>, Ashleigh L Wiseman</w:t>
      </w:r>
      <w:r w:rsidRPr="00CD6B2D">
        <w:rPr>
          <w:rFonts w:ascii="Arial" w:hAnsi="Arial" w:cs="Arial"/>
          <w:vertAlign w:val="superscript"/>
        </w:rPr>
        <w:t>1,3</w:t>
      </w:r>
    </w:p>
    <w:p w14:paraId="37734D5E" w14:textId="77777777" w:rsidR="00EB57EC" w:rsidRPr="00CD6B2D" w:rsidRDefault="00EB57EC" w:rsidP="00B85874">
      <w:pPr>
        <w:spacing w:after="240" w:line="276" w:lineRule="auto"/>
        <w:jc w:val="center"/>
        <w:rPr>
          <w:rFonts w:ascii="Arial" w:hAnsi="Arial" w:cs="Arial"/>
          <w:color w:val="000000" w:themeColor="text1"/>
          <w:sz w:val="18"/>
          <w:szCs w:val="18"/>
        </w:rPr>
      </w:pPr>
      <w:r w:rsidRPr="00CD6B2D">
        <w:rPr>
          <w:rFonts w:ascii="Arial" w:hAnsi="Arial" w:cs="Arial"/>
          <w:color w:val="000000" w:themeColor="text1"/>
          <w:sz w:val="18"/>
          <w:szCs w:val="18"/>
          <w:vertAlign w:val="superscript"/>
        </w:rPr>
        <w:t>1</w:t>
      </w:r>
      <w:r w:rsidRPr="00CD6B2D">
        <w:rPr>
          <w:rFonts w:ascii="Arial" w:hAnsi="Arial" w:cs="Arial"/>
          <w:color w:val="000000" w:themeColor="text1"/>
          <w:sz w:val="18"/>
          <w:szCs w:val="18"/>
        </w:rPr>
        <w:t xml:space="preserve"> Department of Anthropology, University College London, London, UK.</w:t>
      </w:r>
    </w:p>
    <w:p w14:paraId="5D6BDE59" w14:textId="77777777" w:rsidR="00EB57EC" w:rsidRPr="00CD6B2D" w:rsidRDefault="00EB57EC" w:rsidP="00B85874">
      <w:pPr>
        <w:spacing w:after="240" w:line="276" w:lineRule="auto"/>
        <w:jc w:val="center"/>
        <w:rPr>
          <w:rFonts w:ascii="Arial" w:hAnsi="Arial" w:cs="Arial"/>
          <w:color w:val="000000" w:themeColor="text1"/>
          <w:sz w:val="18"/>
          <w:szCs w:val="18"/>
        </w:rPr>
      </w:pPr>
      <w:r w:rsidRPr="00CD6B2D">
        <w:rPr>
          <w:rFonts w:ascii="Arial" w:hAnsi="Arial" w:cs="Arial"/>
          <w:color w:val="000000" w:themeColor="text1"/>
          <w:sz w:val="18"/>
          <w:szCs w:val="18"/>
          <w:vertAlign w:val="superscript"/>
        </w:rPr>
        <w:t xml:space="preserve">2 </w:t>
      </w:r>
      <w:r w:rsidRPr="00CD6B2D">
        <w:rPr>
          <w:rFonts w:ascii="Arial" w:hAnsi="Arial" w:cs="Arial"/>
          <w:color w:val="000000" w:themeColor="text1"/>
          <w:sz w:val="18"/>
          <w:szCs w:val="18"/>
        </w:rPr>
        <w:t>Department of Development and Regeneration, KU Leuven Campus Kulak, Kortrijk, Belgium.</w:t>
      </w:r>
    </w:p>
    <w:p w14:paraId="0E3DD5F3" w14:textId="77777777" w:rsidR="00EB57EC" w:rsidRPr="00CD6B2D" w:rsidRDefault="00EB57EC" w:rsidP="00B85874">
      <w:pPr>
        <w:spacing w:after="240" w:line="276" w:lineRule="auto"/>
        <w:jc w:val="center"/>
        <w:rPr>
          <w:rFonts w:ascii="Arial" w:hAnsi="Arial" w:cs="Arial"/>
          <w:color w:val="000000" w:themeColor="text1"/>
          <w:sz w:val="18"/>
          <w:szCs w:val="18"/>
        </w:rPr>
      </w:pPr>
      <w:r w:rsidRPr="00CD6B2D">
        <w:rPr>
          <w:rFonts w:ascii="Arial" w:hAnsi="Arial" w:cs="Arial"/>
          <w:color w:val="000000" w:themeColor="text1"/>
          <w:sz w:val="18"/>
          <w:szCs w:val="18"/>
          <w:vertAlign w:val="superscript"/>
        </w:rPr>
        <w:t>3</w:t>
      </w:r>
      <w:r w:rsidRPr="00CD6B2D">
        <w:rPr>
          <w:rFonts w:ascii="Arial" w:hAnsi="Arial" w:cs="Arial"/>
          <w:color w:val="000000" w:themeColor="text1"/>
          <w:sz w:val="18"/>
          <w:szCs w:val="18"/>
        </w:rPr>
        <w:t xml:space="preserve"> McDonald Institute for Archaeological Research, University of Cambridge, Cambridge, UK.</w:t>
      </w:r>
    </w:p>
    <w:p w14:paraId="7545880B" w14:textId="77777777" w:rsidR="00EB57EC" w:rsidRPr="00CD6B2D" w:rsidRDefault="00EB57EC" w:rsidP="00047BC6">
      <w:pPr>
        <w:spacing w:after="240" w:line="276" w:lineRule="auto"/>
        <w:jc w:val="both"/>
        <w:rPr>
          <w:rFonts w:ascii="Arial" w:hAnsi="Arial" w:cs="Arial"/>
          <w:color w:val="000000" w:themeColor="text1"/>
        </w:rPr>
      </w:pPr>
    </w:p>
    <w:p w14:paraId="00FCE0A8" w14:textId="586FB2F1" w:rsidR="00D4209E" w:rsidRPr="00CD6B2D" w:rsidRDefault="00047BC6" w:rsidP="00047BC6">
      <w:pPr>
        <w:spacing w:after="240" w:line="276" w:lineRule="auto"/>
        <w:jc w:val="both"/>
        <w:rPr>
          <w:rFonts w:ascii="Arial" w:hAnsi="Arial" w:cs="Arial"/>
          <w:b/>
          <w:bCs/>
          <w:color w:val="000000" w:themeColor="text1"/>
        </w:rPr>
      </w:pPr>
      <w:r w:rsidRPr="00CD6B2D">
        <w:rPr>
          <w:rFonts w:ascii="Arial" w:hAnsi="Arial" w:cs="Arial"/>
          <w:b/>
          <w:bCs/>
          <w:color w:val="000000" w:themeColor="text1"/>
        </w:rPr>
        <w:t xml:space="preserve">1. </w:t>
      </w:r>
      <w:r w:rsidR="00D4209E" w:rsidRPr="00CD6B2D">
        <w:rPr>
          <w:rFonts w:ascii="Arial" w:hAnsi="Arial" w:cs="Arial"/>
          <w:b/>
          <w:bCs/>
          <w:color w:val="000000" w:themeColor="text1"/>
        </w:rPr>
        <w:t>Muscle homologies</w:t>
      </w:r>
    </w:p>
    <w:p w14:paraId="12BE6815" w14:textId="6C1A1BD8"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 xml:space="preserve">Here, we report differences in muscle attachment sites. Refer to Section 2 for differences in architecture. </w:t>
      </w:r>
      <w:r w:rsidR="003F7421">
        <w:rPr>
          <w:rFonts w:ascii="Arial" w:hAnsi="Arial" w:cs="Arial"/>
          <w:color w:val="000000" w:themeColor="text1"/>
        </w:rPr>
        <w:t>Further see Wiseman et al. 2026 for further discussions on muscle homologies in these taxa.</w:t>
      </w:r>
    </w:p>
    <w:p w14:paraId="30F8B841" w14:textId="509F41D1" w:rsidR="00047BC6" w:rsidRPr="00CD6B2D" w:rsidRDefault="00047BC6" w:rsidP="00047BC6">
      <w:pPr>
        <w:jc w:val="both"/>
        <w:rPr>
          <w:rFonts w:ascii="Arial" w:hAnsi="Arial" w:cs="Arial"/>
          <w:color w:val="000000" w:themeColor="text1"/>
        </w:rPr>
      </w:pPr>
      <w:r w:rsidRPr="00CD6B2D">
        <w:rPr>
          <w:rFonts w:ascii="Arial" w:hAnsi="Arial" w:cs="Arial"/>
          <w:i/>
          <w:iCs/>
          <w:color w:val="000000" w:themeColor="text1"/>
        </w:rPr>
        <w:t>Scansorius</w:t>
      </w:r>
    </w:p>
    <w:p w14:paraId="50C1530E" w14:textId="27570673"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 xml:space="preserve">This muscle was present in the macaque and siamang only, originating from the </w:t>
      </w:r>
      <w:r w:rsidR="00FF3EC6" w:rsidRPr="00CD6B2D">
        <w:rPr>
          <w:rFonts w:ascii="Arial" w:hAnsi="Arial" w:cs="Arial"/>
          <w:color w:val="000000" w:themeColor="text1"/>
        </w:rPr>
        <w:t>anterior superior iliac spine (ASIS)</w:t>
      </w:r>
      <w:r w:rsidRPr="00CD6B2D">
        <w:rPr>
          <w:rFonts w:ascii="Arial" w:hAnsi="Arial" w:cs="Arial"/>
          <w:color w:val="000000" w:themeColor="text1"/>
        </w:rPr>
        <w:t xml:space="preserve"> and inserting on the greater trochanter. The pattern suggests a retained primitive configuration in cercopithecoids and some lesser apes, with loss in taxa where the hip flexor complex is reorganised.</w:t>
      </w:r>
    </w:p>
    <w:p w14:paraId="239C17D4" w14:textId="3DDCAA67"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Obturator internus</w:t>
      </w:r>
      <w:r w:rsidR="007E422E">
        <w:rPr>
          <w:rFonts w:ascii="Arial" w:hAnsi="Arial" w:cs="Arial"/>
          <w:i/>
          <w:iCs/>
          <w:color w:val="000000" w:themeColor="text1"/>
        </w:rPr>
        <w:t xml:space="preserve"> (ObtInt)</w:t>
      </w:r>
    </w:p>
    <w:p w14:paraId="364AEE64" w14:textId="5C6A369E" w:rsidR="00047BC6" w:rsidRPr="00CD6B2D" w:rsidRDefault="000B3BDD" w:rsidP="00047BC6">
      <w:pPr>
        <w:jc w:val="both"/>
        <w:rPr>
          <w:rFonts w:ascii="Arial" w:hAnsi="Arial" w:cs="Arial"/>
          <w:color w:val="000000" w:themeColor="text1"/>
        </w:rPr>
      </w:pPr>
      <w:r w:rsidRPr="00CD6B2D">
        <w:rPr>
          <w:rFonts w:ascii="Arial" w:hAnsi="Arial" w:cs="Arial"/>
          <w:color w:val="000000" w:themeColor="text1"/>
        </w:rPr>
        <w:t xml:space="preserve">Present in all taxa, excluding the siamang. </w:t>
      </w:r>
      <w:r w:rsidR="00047BC6" w:rsidRPr="00CD6B2D">
        <w:rPr>
          <w:rFonts w:ascii="Arial" w:hAnsi="Arial" w:cs="Arial"/>
          <w:color w:val="000000" w:themeColor="text1"/>
        </w:rPr>
        <w:t>Macaques possess a well</w:t>
      </w:r>
      <w:r w:rsidR="00047BC6" w:rsidRPr="00CD6B2D">
        <w:rPr>
          <w:rFonts w:ascii="Arial" w:hAnsi="Arial" w:cs="Arial"/>
          <w:color w:val="000000" w:themeColor="text1"/>
        </w:rPr>
        <w:noBreakHyphen/>
        <w:t xml:space="preserve">developed </w:t>
      </w:r>
      <w:r w:rsidR="00047BC6" w:rsidRPr="00CD6B2D">
        <w:rPr>
          <w:rFonts w:ascii="Arial" w:hAnsi="Arial" w:cs="Arial"/>
          <w:i/>
          <w:iCs/>
          <w:color w:val="000000" w:themeColor="text1"/>
        </w:rPr>
        <w:t>obturator internus</w:t>
      </w:r>
      <w:r w:rsidR="00047BC6" w:rsidRPr="00CD6B2D">
        <w:rPr>
          <w:rFonts w:ascii="Arial" w:hAnsi="Arial" w:cs="Arial"/>
          <w:color w:val="000000" w:themeColor="text1"/>
        </w:rPr>
        <w:t xml:space="preserve"> arising from the obturator foramen, including an additional slip. </w:t>
      </w:r>
      <w:r w:rsidRPr="00CD6B2D">
        <w:rPr>
          <w:rFonts w:ascii="Arial" w:hAnsi="Arial" w:cs="Arial"/>
          <w:color w:val="000000" w:themeColor="text1"/>
        </w:rPr>
        <w:t>The muscle in the remaining species originates from the obturator foramen and inserts into the trochanteric fossa.</w:t>
      </w:r>
    </w:p>
    <w:p w14:paraId="73A84C04" w14:textId="1192C87F"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Obturator externus</w:t>
      </w:r>
      <w:r w:rsidR="007E422E">
        <w:rPr>
          <w:rFonts w:ascii="Arial" w:hAnsi="Arial" w:cs="Arial"/>
          <w:i/>
          <w:iCs/>
          <w:color w:val="000000" w:themeColor="text1"/>
        </w:rPr>
        <w:t xml:space="preserve"> (ObtExt)</w:t>
      </w:r>
    </w:p>
    <w:p w14:paraId="1A791F8E" w14:textId="7B6D08E4"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 xml:space="preserve">This muscle </w:t>
      </w:r>
      <w:r w:rsidR="000B3BDD" w:rsidRPr="00CD6B2D">
        <w:rPr>
          <w:rFonts w:ascii="Arial" w:hAnsi="Arial" w:cs="Arial"/>
          <w:color w:val="000000" w:themeColor="text1"/>
        </w:rPr>
        <w:t>was present in all taxa</w:t>
      </w:r>
      <w:r w:rsidRPr="00CD6B2D">
        <w:rPr>
          <w:rFonts w:ascii="Arial" w:hAnsi="Arial" w:cs="Arial"/>
          <w:color w:val="000000" w:themeColor="text1"/>
        </w:rPr>
        <w:t xml:space="preserve">, arising from the medial obturator foramen and inserting into the trochanteric fossa. </w:t>
      </w:r>
    </w:p>
    <w:p w14:paraId="33BC45DB" w14:textId="164FE5CC"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Adductor magnus</w:t>
      </w:r>
      <w:r w:rsidR="007E422E">
        <w:rPr>
          <w:rFonts w:ascii="Arial" w:hAnsi="Arial" w:cs="Arial"/>
          <w:i/>
          <w:iCs/>
          <w:color w:val="000000" w:themeColor="text1"/>
        </w:rPr>
        <w:t xml:space="preserve"> (AM)</w:t>
      </w:r>
    </w:p>
    <w:p w14:paraId="58D0B009" w14:textId="537091C8"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Across all taxa, adductor magnus originates from the inferior pubic ramus and ischial tuberosity. Insertions vary: macaques, orangutans, gorillas,</w:t>
      </w:r>
      <w:r w:rsidR="000B3BDD" w:rsidRPr="00CD6B2D">
        <w:rPr>
          <w:rFonts w:ascii="Arial" w:hAnsi="Arial" w:cs="Arial"/>
          <w:color w:val="000000" w:themeColor="text1"/>
        </w:rPr>
        <w:t xml:space="preserve"> chimpanzees</w:t>
      </w:r>
      <w:r w:rsidRPr="00CD6B2D">
        <w:rPr>
          <w:rFonts w:ascii="Arial" w:hAnsi="Arial" w:cs="Arial"/>
          <w:color w:val="000000" w:themeColor="text1"/>
        </w:rPr>
        <w:t xml:space="preserve"> and humans insert on the linea aspera and adductor tubercle, whereas </w:t>
      </w:r>
      <w:r w:rsidR="000B3BDD" w:rsidRPr="00CD6B2D">
        <w:rPr>
          <w:rFonts w:ascii="Arial" w:hAnsi="Arial" w:cs="Arial"/>
          <w:color w:val="000000" w:themeColor="text1"/>
        </w:rPr>
        <w:t>in the gorilla is</w:t>
      </w:r>
      <w:r w:rsidRPr="00CD6B2D">
        <w:rPr>
          <w:rFonts w:ascii="Arial" w:hAnsi="Arial" w:cs="Arial"/>
          <w:color w:val="000000" w:themeColor="text1"/>
        </w:rPr>
        <w:t xml:space="preserve"> additionally extend</w:t>
      </w:r>
      <w:r w:rsidR="000B3BDD" w:rsidRPr="00CD6B2D">
        <w:rPr>
          <w:rFonts w:ascii="Arial" w:hAnsi="Arial" w:cs="Arial"/>
          <w:color w:val="000000" w:themeColor="text1"/>
        </w:rPr>
        <w:t>ed</w:t>
      </w:r>
      <w:r w:rsidRPr="00CD6B2D">
        <w:rPr>
          <w:rFonts w:ascii="Arial" w:hAnsi="Arial" w:cs="Arial"/>
          <w:color w:val="000000" w:themeColor="text1"/>
        </w:rPr>
        <w:t xml:space="preserve"> to the tibial epicondyle. </w:t>
      </w:r>
    </w:p>
    <w:p w14:paraId="58FE1C10" w14:textId="1C0969F2"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Adductor longus</w:t>
      </w:r>
      <w:r w:rsidR="007E422E">
        <w:rPr>
          <w:rFonts w:ascii="Arial" w:hAnsi="Arial" w:cs="Arial"/>
          <w:i/>
          <w:iCs/>
          <w:color w:val="000000" w:themeColor="text1"/>
        </w:rPr>
        <w:t xml:space="preserve"> (AL)</w:t>
      </w:r>
    </w:p>
    <w:p w14:paraId="27878701" w14:textId="20CD8DE2"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 xml:space="preserve">Origins are conserved across species, from the anterior superior pubic ramus. Insertions consistently lie along the middle third of the linea aspera. </w:t>
      </w:r>
    </w:p>
    <w:p w14:paraId="1552E824" w14:textId="4D665AFA"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Adductor brevis</w:t>
      </w:r>
      <w:r w:rsidR="007E422E">
        <w:rPr>
          <w:rFonts w:ascii="Arial" w:hAnsi="Arial" w:cs="Arial"/>
          <w:i/>
          <w:iCs/>
          <w:color w:val="000000" w:themeColor="text1"/>
        </w:rPr>
        <w:t xml:space="preserve"> (AB)</w:t>
      </w:r>
    </w:p>
    <w:p w14:paraId="28A05817" w14:textId="0181B054"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lastRenderedPageBreak/>
        <w:t>This muscle shows substantial variation. Macaques</w:t>
      </w:r>
      <w:r w:rsidR="000B3BDD" w:rsidRPr="00CD6B2D">
        <w:rPr>
          <w:rFonts w:ascii="Arial" w:hAnsi="Arial" w:cs="Arial"/>
          <w:color w:val="000000" w:themeColor="text1"/>
        </w:rPr>
        <w:t xml:space="preserve"> and siamangs both</w:t>
      </w:r>
      <w:r w:rsidRPr="00CD6B2D">
        <w:rPr>
          <w:rFonts w:ascii="Arial" w:hAnsi="Arial" w:cs="Arial"/>
          <w:color w:val="000000" w:themeColor="text1"/>
        </w:rPr>
        <w:t xml:space="preserve"> possess two heads from the superior pubic ramus, inserting on the linea aspera. Gibbons lack the muscle entirely. Orangutans, </w:t>
      </w:r>
      <w:r w:rsidR="000B3BDD" w:rsidRPr="00CD6B2D">
        <w:rPr>
          <w:rFonts w:ascii="Arial" w:hAnsi="Arial" w:cs="Arial"/>
          <w:color w:val="000000" w:themeColor="text1"/>
        </w:rPr>
        <w:t>chimpanzees</w:t>
      </w:r>
      <w:r w:rsidRPr="00CD6B2D">
        <w:rPr>
          <w:rFonts w:ascii="Arial" w:hAnsi="Arial" w:cs="Arial"/>
          <w:color w:val="000000" w:themeColor="text1"/>
        </w:rPr>
        <w:t xml:space="preserve">, and humans retain a single origin from the body/inferior ramus of the pubis with insertion on the linea aspera. </w:t>
      </w:r>
    </w:p>
    <w:p w14:paraId="2A6027E0" w14:textId="7045AFD6"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Adductor minimus</w:t>
      </w:r>
      <w:r w:rsidR="007E422E">
        <w:rPr>
          <w:rFonts w:ascii="Arial" w:hAnsi="Arial" w:cs="Arial"/>
          <w:i/>
          <w:iCs/>
          <w:color w:val="000000" w:themeColor="text1"/>
        </w:rPr>
        <w:t xml:space="preserve"> (Amin)</w:t>
      </w:r>
    </w:p>
    <w:p w14:paraId="45E674B9" w14:textId="7D925F32"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Absent in</w:t>
      </w:r>
      <w:r w:rsidR="007E0E61" w:rsidRPr="00CD6B2D">
        <w:rPr>
          <w:rFonts w:ascii="Arial" w:hAnsi="Arial" w:cs="Arial"/>
          <w:color w:val="000000" w:themeColor="text1"/>
        </w:rPr>
        <w:t xml:space="preserve"> the</w:t>
      </w:r>
      <w:r w:rsidRPr="00CD6B2D">
        <w:rPr>
          <w:rFonts w:ascii="Arial" w:hAnsi="Arial" w:cs="Arial"/>
          <w:color w:val="000000" w:themeColor="text1"/>
        </w:rPr>
        <w:t xml:space="preserve"> macaque, gibbon, </w:t>
      </w:r>
      <w:r w:rsidR="007E0E61" w:rsidRPr="00CD6B2D">
        <w:rPr>
          <w:rFonts w:ascii="Arial" w:hAnsi="Arial" w:cs="Arial"/>
          <w:color w:val="000000" w:themeColor="text1"/>
        </w:rPr>
        <w:t xml:space="preserve">siamang, </w:t>
      </w:r>
      <w:r w:rsidRPr="00CD6B2D">
        <w:rPr>
          <w:rFonts w:ascii="Arial" w:hAnsi="Arial" w:cs="Arial"/>
          <w:color w:val="000000" w:themeColor="text1"/>
        </w:rPr>
        <w:t>oranguta</w:t>
      </w:r>
      <w:r w:rsidR="007E0E61" w:rsidRPr="00CD6B2D">
        <w:rPr>
          <w:rFonts w:ascii="Arial" w:hAnsi="Arial" w:cs="Arial"/>
          <w:color w:val="000000" w:themeColor="text1"/>
        </w:rPr>
        <w:t>n</w:t>
      </w:r>
      <w:r w:rsidRPr="00CD6B2D">
        <w:rPr>
          <w:rFonts w:ascii="Arial" w:hAnsi="Arial" w:cs="Arial"/>
          <w:color w:val="000000" w:themeColor="text1"/>
        </w:rPr>
        <w:t xml:space="preserve">, and human. Present in </w:t>
      </w:r>
      <w:r w:rsidR="007E0E61" w:rsidRPr="00CD6B2D">
        <w:rPr>
          <w:rFonts w:ascii="Arial" w:hAnsi="Arial" w:cs="Arial"/>
          <w:color w:val="000000" w:themeColor="text1"/>
        </w:rPr>
        <w:t>the chimpanzee</w:t>
      </w:r>
      <w:r w:rsidRPr="00CD6B2D">
        <w:rPr>
          <w:rFonts w:ascii="Arial" w:hAnsi="Arial" w:cs="Arial"/>
          <w:color w:val="000000" w:themeColor="text1"/>
        </w:rPr>
        <w:t xml:space="preserve"> and </w:t>
      </w:r>
      <w:r w:rsidR="007E0E61" w:rsidRPr="00CD6B2D">
        <w:rPr>
          <w:rFonts w:ascii="Arial" w:hAnsi="Arial" w:cs="Arial"/>
          <w:color w:val="000000" w:themeColor="text1"/>
        </w:rPr>
        <w:t>gorilla</w:t>
      </w:r>
      <w:r w:rsidRPr="00CD6B2D">
        <w:rPr>
          <w:rFonts w:ascii="Arial" w:hAnsi="Arial" w:cs="Arial"/>
          <w:color w:val="000000" w:themeColor="text1"/>
        </w:rPr>
        <w:t xml:space="preserve">, arising from the superior/inferior pubic ramus and inserting on the dorsal femoral shaft. </w:t>
      </w:r>
    </w:p>
    <w:p w14:paraId="3518A776" w14:textId="1AFF7A4C"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Psoas major</w:t>
      </w:r>
      <w:r w:rsidR="007E422E">
        <w:rPr>
          <w:rFonts w:ascii="Arial" w:hAnsi="Arial" w:cs="Arial"/>
          <w:i/>
          <w:iCs/>
          <w:color w:val="000000" w:themeColor="text1"/>
        </w:rPr>
        <w:t xml:space="preserve"> (PM)</w:t>
      </w:r>
    </w:p>
    <w:p w14:paraId="0DDD33EF" w14:textId="735AFDFE"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 xml:space="preserve">Conserved across taxa, arising from T12–L5 vertebrae and inserting on the lesser trochanter. </w:t>
      </w:r>
    </w:p>
    <w:p w14:paraId="7A1E1809" w14:textId="2E81F9C3"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Pectineus</w:t>
      </w:r>
      <w:r w:rsidR="007E422E">
        <w:rPr>
          <w:rFonts w:ascii="Arial" w:hAnsi="Arial" w:cs="Arial"/>
          <w:i/>
          <w:iCs/>
          <w:color w:val="000000" w:themeColor="text1"/>
        </w:rPr>
        <w:t xml:space="preserve"> (PECT)</w:t>
      </w:r>
    </w:p>
    <w:p w14:paraId="6F8D04A8" w14:textId="60D3EFF3" w:rsidR="00047BC6" w:rsidRPr="00CD6B2D" w:rsidRDefault="00F9452E" w:rsidP="00047BC6">
      <w:pPr>
        <w:jc w:val="both"/>
        <w:rPr>
          <w:rFonts w:ascii="Arial" w:hAnsi="Arial" w:cs="Arial"/>
          <w:color w:val="000000" w:themeColor="text1"/>
        </w:rPr>
      </w:pPr>
      <w:r w:rsidRPr="00CD6B2D">
        <w:rPr>
          <w:rFonts w:ascii="Arial" w:hAnsi="Arial" w:cs="Arial"/>
          <w:color w:val="000000" w:themeColor="text1"/>
        </w:rPr>
        <w:t xml:space="preserve">The macaque, gibbon, gorilla, chimpanzee, and human </w:t>
      </w:r>
      <w:r w:rsidR="00047BC6" w:rsidRPr="00CD6B2D">
        <w:rPr>
          <w:rFonts w:ascii="Arial" w:hAnsi="Arial" w:cs="Arial"/>
          <w:color w:val="000000" w:themeColor="text1"/>
        </w:rPr>
        <w:t>show</w:t>
      </w:r>
      <w:r w:rsidRPr="00CD6B2D">
        <w:rPr>
          <w:rFonts w:ascii="Arial" w:hAnsi="Arial" w:cs="Arial"/>
          <w:color w:val="000000" w:themeColor="text1"/>
        </w:rPr>
        <w:t>ed</w:t>
      </w:r>
      <w:r w:rsidR="00047BC6" w:rsidRPr="00CD6B2D">
        <w:rPr>
          <w:rFonts w:ascii="Arial" w:hAnsi="Arial" w:cs="Arial"/>
          <w:color w:val="000000" w:themeColor="text1"/>
        </w:rPr>
        <w:t xml:space="preserve"> the typical origin from the superior pubic ramus and insertion on the pectineal line</w:t>
      </w:r>
      <w:r w:rsidRPr="00CD6B2D">
        <w:rPr>
          <w:rFonts w:ascii="Arial" w:hAnsi="Arial" w:cs="Arial"/>
          <w:color w:val="000000" w:themeColor="text1"/>
        </w:rPr>
        <w:t xml:space="preserve"> of the femur</w:t>
      </w:r>
      <w:r w:rsidR="00047BC6" w:rsidRPr="00CD6B2D">
        <w:rPr>
          <w:rFonts w:ascii="Arial" w:hAnsi="Arial" w:cs="Arial"/>
          <w:color w:val="000000" w:themeColor="text1"/>
        </w:rPr>
        <w:t xml:space="preserve">. </w:t>
      </w:r>
      <w:r w:rsidRPr="00CD6B2D">
        <w:rPr>
          <w:rFonts w:ascii="Arial" w:hAnsi="Arial" w:cs="Arial"/>
          <w:color w:val="000000" w:themeColor="text1"/>
        </w:rPr>
        <w:t>The orangutan</w:t>
      </w:r>
      <w:r w:rsidR="00047BC6" w:rsidRPr="00CD6B2D">
        <w:rPr>
          <w:rFonts w:ascii="Arial" w:hAnsi="Arial" w:cs="Arial"/>
          <w:color w:val="000000" w:themeColor="text1"/>
        </w:rPr>
        <w:t xml:space="preserve"> </w:t>
      </w:r>
      <w:r w:rsidRPr="00CD6B2D">
        <w:rPr>
          <w:rFonts w:ascii="Arial" w:hAnsi="Arial" w:cs="Arial"/>
          <w:color w:val="000000" w:themeColor="text1"/>
        </w:rPr>
        <w:t>had a fused</w:t>
      </w:r>
      <w:r w:rsidR="00047BC6" w:rsidRPr="00CD6B2D">
        <w:rPr>
          <w:rFonts w:ascii="Arial" w:hAnsi="Arial" w:cs="Arial"/>
          <w:color w:val="000000" w:themeColor="text1"/>
        </w:rPr>
        <w:t xml:space="preserve"> pectineus with adductor longus</w:t>
      </w:r>
      <w:r w:rsidRPr="00CD6B2D">
        <w:rPr>
          <w:rFonts w:ascii="Arial" w:hAnsi="Arial" w:cs="Arial"/>
          <w:color w:val="000000" w:themeColor="text1"/>
        </w:rPr>
        <w:t>.</w:t>
      </w:r>
    </w:p>
    <w:p w14:paraId="0FF896BF" w14:textId="0DF43473"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Piriformis</w:t>
      </w:r>
      <w:r w:rsidR="007E422E">
        <w:rPr>
          <w:rFonts w:ascii="Arial" w:hAnsi="Arial" w:cs="Arial"/>
          <w:i/>
          <w:iCs/>
          <w:color w:val="000000" w:themeColor="text1"/>
        </w:rPr>
        <w:t xml:space="preserve"> (PIRI)</w:t>
      </w:r>
    </w:p>
    <w:p w14:paraId="4EBBDEA6" w14:textId="2392C6AD" w:rsidR="00047BC6" w:rsidRPr="00CD6B2D" w:rsidRDefault="00F9452E" w:rsidP="00047BC6">
      <w:pPr>
        <w:jc w:val="both"/>
        <w:rPr>
          <w:rFonts w:ascii="Arial" w:hAnsi="Arial" w:cs="Arial"/>
          <w:color w:val="000000" w:themeColor="text1"/>
        </w:rPr>
      </w:pPr>
      <w:r w:rsidRPr="00CD6B2D">
        <w:rPr>
          <w:rFonts w:ascii="Arial" w:hAnsi="Arial" w:cs="Arial"/>
          <w:color w:val="000000" w:themeColor="text1"/>
        </w:rPr>
        <w:t>The</w:t>
      </w:r>
      <w:r w:rsidR="00D24C74" w:rsidRPr="00CD6B2D">
        <w:rPr>
          <w:rFonts w:ascii="Arial" w:hAnsi="Arial" w:cs="Arial"/>
          <w:color w:val="000000" w:themeColor="text1"/>
        </w:rPr>
        <w:t xml:space="preserve"> </w:t>
      </w:r>
      <w:r w:rsidR="00047BC6" w:rsidRPr="00CD6B2D">
        <w:rPr>
          <w:rFonts w:ascii="Arial" w:hAnsi="Arial" w:cs="Arial"/>
          <w:color w:val="000000" w:themeColor="text1"/>
        </w:rPr>
        <w:t xml:space="preserve">gibbon, </w:t>
      </w:r>
      <w:r w:rsidR="00D24C74" w:rsidRPr="00CD6B2D">
        <w:rPr>
          <w:rFonts w:ascii="Arial" w:hAnsi="Arial" w:cs="Arial"/>
          <w:color w:val="000000" w:themeColor="text1"/>
        </w:rPr>
        <w:t xml:space="preserve">orangutan, </w:t>
      </w:r>
      <w:r w:rsidRPr="00CD6B2D">
        <w:rPr>
          <w:rFonts w:ascii="Arial" w:hAnsi="Arial" w:cs="Arial"/>
          <w:color w:val="000000" w:themeColor="text1"/>
        </w:rPr>
        <w:t>gorilla, chimpanzee</w:t>
      </w:r>
      <w:r w:rsidR="00047BC6" w:rsidRPr="00CD6B2D">
        <w:rPr>
          <w:rFonts w:ascii="Arial" w:hAnsi="Arial" w:cs="Arial"/>
          <w:color w:val="000000" w:themeColor="text1"/>
        </w:rPr>
        <w:t>, and human show</w:t>
      </w:r>
      <w:r w:rsidRPr="00CD6B2D">
        <w:rPr>
          <w:rFonts w:ascii="Arial" w:hAnsi="Arial" w:cs="Arial"/>
          <w:color w:val="000000" w:themeColor="text1"/>
        </w:rPr>
        <w:t>ed</w:t>
      </w:r>
      <w:r w:rsidR="00047BC6" w:rsidRPr="00CD6B2D">
        <w:rPr>
          <w:rFonts w:ascii="Arial" w:hAnsi="Arial" w:cs="Arial"/>
          <w:color w:val="000000" w:themeColor="text1"/>
        </w:rPr>
        <w:t xml:space="preserve"> the typical origin on the anterior sacrum and insertion on the greater trochanter. Siamangs exhibit fusion of piriformis with gluteus medius</w:t>
      </w:r>
      <w:r w:rsidR="00D24C74" w:rsidRPr="00CD6B2D">
        <w:rPr>
          <w:rFonts w:ascii="Arial" w:hAnsi="Arial" w:cs="Arial"/>
          <w:color w:val="000000" w:themeColor="text1"/>
        </w:rPr>
        <w:t>.</w:t>
      </w:r>
    </w:p>
    <w:p w14:paraId="1859682A" w14:textId="49401F58"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Quadratus femoris</w:t>
      </w:r>
      <w:r w:rsidR="007E422E">
        <w:rPr>
          <w:rFonts w:ascii="Arial" w:hAnsi="Arial" w:cs="Arial"/>
          <w:i/>
          <w:iCs/>
          <w:color w:val="000000" w:themeColor="text1"/>
        </w:rPr>
        <w:t xml:space="preserve"> (QF)</w:t>
      </w:r>
    </w:p>
    <w:p w14:paraId="38FDCF47" w14:textId="24F792BE"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Absent in</w:t>
      </w:r>
      <w:r w:rsidR="00D24C74" w:rsidRPr="00CD6B2D">
        <w:rPr>
          <w:rFonts w:ascii="Arial" w:hAnsi="Arial" w:cs="Arial"/>
          <w:color w:val="000000" w:themeColor="text1"/>
        </w:rPr>
        <w:t xml:space="preserve"> the </w:t>
      </w:r>
      <w:r w:rsidRPr="00CD6B2D">
        <w:rPr>
          <w:rFonts w:ascii="Arial" w:hAnsi="Arial" w:cs="Arial"/>
          <w:color w:val="000000" w:themeColor="text1"/>
        </w:rPr>
        <w:t xml:space="preserve">macaque. Present in </w:t>
      </w:r>
      <w:r w:rsidR="00D24C74" w:rsidRPr="00CD6B2D">
        <w:rPr>
          <w:rFonts w:ascii="Arial" w:hAnsi="Arial" w:cs="Arial"/>
          <w:color w:val="000000" w:themeColor="text1"/>
        </w:rPr>
        <w:t>all other species</w:t>
      </w:r>
      <w:r w:rsidRPr="00CD6B2D">
        <w:rPr>
          <w:rFonts w:ascii="Arial" w:hAnsi="Arial" w:cs="Arial"/>
          <w:color w:val="000000" w:themeColor="text1"/>
        </w:rPr>
        <w:t xml:space="preserve">, arising from the ischial tuberosity and inserting on the intertrochanteric crest. </w:t>
      </w:r>
    </w:p>
    <w:p w14:paraId="7C059D39" w14:textId="580AF17B"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Gemellus superior</w:t>
      </w:r>
      <w:r w:rsidR="007E422E">
        <w:rPr>
          <w:rFonts w:ascii="Arial" w:hAnsi="Arial" w:cs="Arial"/>
          <w:i/>
          <w:iCs/>
          <w:color w:val="000000" w:themeColor="text1"/>
        </w:rPr>
        <w:t xml:space="preserve"> (GemSup)</w:t>
      </w:r>
    </w:p>
    <w:p w14:paraId="7E6D8A04" w14:textId="3877753C" w:rsidR="00047BC6" w:rsidRPr="00CD6B2D" w:rsidRDefault="00DB3D8E" w:rsidP="00047BC6">
      <w:pPr>
        <w:jc w:val="both"/>
        <w:rPr>
          <w:rFonts w:ascii="Arial" w:hAnsi="Arial" w:cs="Arial"/>
          <w:color w:val="000000" w:themeColor="text1"/>
        </w:rPr>
      </w:pPr>
      <w:r w:rsidRPr="00CD6B2D">
        <w:rPr>
          <w:rFonts w:ascii="Arial" w:hAnsi="Arial" w:cs="Arial"/>
          <w:color w:val="000000" w:themeColor="text1"/>
        </w:rPr>
        <w:t xml:space="preserve">Absent in the gorilla. </w:t>
      </w:r>
      <w:r w:rsidR="00047BC6" w:rsidRPr="00CD6B2D">
        <w:rPr>
          <w:rFonts w:ascii="Arial" w:hAnsi="Arial" w:cs="Arial"/>
          <w:color w:val="000000" w:themeColor="text1"/>
        </w:rPr>
        <w:t xml:space="preserve">Present in </w:t>
      </w:r>
      <w:r w:rsidRPr="00CD6B2D">
        <w:rPr>
          <w:rFonts w:ascii="Arial" w:hAnsi="Arial" w:cs="Arial"/>
          <w:color w:val="000000" w:themeColor="text1"/>
        </w:rPr>
        <w:t xml:space="preserve">all other species, </w:t>
      </w:r>
      <w:r w:rsidR="00047BC6" w:rsidRPr="00CD6B2D">
        <w:rPr>
          <w:rFonts w:ascii="Arial" w:hAnsi="Arial" w:cs="Arial"/>
          <w:color w:val="000000" w:themeColor="text1"/>
        </w:rPr>
        <w:t xml:space="preserve">arising from the ischial spine and inserting into the trochanteric fossa. </w:t>
      </w:r>
    </w:p>
    <w:p w14:paraId="4B54B476" w14:textId="3113AE4A"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Gemellus inferior</w:t>
      </w:r>
      <w:r w:rsidR="007E422E">
        <w:rPr>
          <w:rFonts w:ascii="Arial" w:hAnsi="Arial" w:cs="Arial"/>
          <w:i/>
          <w:iCs/>
          <w:color w:val="000000" w:themeColor="text1"/>
        </w:rPr>
        <w:t xml:space="preserve"> (GemInf)</w:t>
      </w:r>
    </w:p>
    <w:p w14:paraId="0B9BFA32" w14:textId="55480A0F"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 xml:space="preserve">Present in </w:t>
      </w:r>
      <w:r w:rsidR="00DB3D8E" w:rsidRPr="00CD6B2D">
        <w:rPr>
          <w:rFonts w:ascii="Arial" w:hAnsi="Arial" w:cs="Arial"/>
          <w:color w:val="000000" w:themeColor="text1"/>
        </w:rPr>
        <w:t xml:space="preserve">all species. Arises from ischial spine in the macaque, but from the ischial tuberosity in all other species and </w:t>
      </w:r>
      <w:r w:rsidRPr="00CD6B2D">
        <w:rPr>
          <w:rFonts w:ascii="Arial" w:hAnsi="Arial" w:cs="Arial"/>
          <w:color w:val="000000" w:themeColor="text1"/>
        </w:rPr>
        <w:t xml:space="preserve">inserting into the trochanteric fossa. </w:t>
      </w:r>
    </w:p>
    <w:p w14:paraId="79DA1625" w14:textId="7203C380"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Gluteus maximus</w:t>
      </w:r>
      <w:r w:rsidR="007E422E">
        <w:rPr>
          <w:rFonts w:ascii="Arial" w:hAnsi="Arial" w:cs="Arial"/>
          <w:i/>
          <w:iCs/>
          <w:color w:val="000000" w:themeColor="text1"/>
        </w:rPr>
        <w:t xml:space="preserve"> (GMax)</w:t>
      </w:r>
    </w:p>
    <w:p w14:paraId="3E907C4F" w14:textId="7CFD1A07"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 xml:space="preserve">Absent in macaques. Present in all </w:t>
      </w:r>
      <w:r w:rsidR="00DB3D8E" w:rsidRPr="00CD6B2D">
        <w:rPr>
          <w:rFonts w:ascii="Arial" w:hAnsi="Arial" w:cs="Arial"/>
          <w:color w:val="000000" w:themeColor="text1"/>
        </w:rPr>
        <w:t>other species</w:t>
      </w:r>
      <w:r w:rsidRPr="00CD6B2D">
        <w:rPr>
          <w:rFonts w:ascii="Arial" w:hAnsi="Arial" w:cs="Arial"/>
          <w:color w:val="000000" w:themeColor="text1"/>
        </w:rPr>
        <w:t>, with origins from the ilium, sacrum, coccyx, and sacrotuberous ligament. Insertions include the iliotibial tract and posterolateral femur. Orangutans and gorillas show expanded origins including the posterior iliac crest and ischial tuberosity.</w:t>
      </w:r>
    </w:p>
    <w:p w14:paraId="47FDA7B5" w14:textId="157000D6"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Gluteus superficialis</w:t>
      </w:r>
      <w:r w:rsidR="007E422E">
        <w:rPr>
          <w:rFonts w:ascii="Arial" w:hAnsi="Arial" w:cs="Arial"/>
          <w:i/>
          <w:iCs/>
          <w:color w:val="000000" w:themeColor="text1"/>
        </w:rPr>
        <w:t xml:space="preserve"> </w:t>
      </w:r>
    </w:p>
    <w:p w14:paraId="6917AFC1" w14:textId="507BC132"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Present in macaques, arising from the iliac crest and sacrum and inserting on the gluteal tuberosity</w:t>
      </w:r>
      <w:r w:rsidR="00DB3D8E" w:rsidRPr="00CD6B2D">
        <w:rPr>
          <w:rFonts w:ascii="Arial" w:hAnsi="Arial" w:cs="Arial"/>
          <w:color w:val="000000" w:themeColor="text1"/>
        </w:rPr>
        <w:t>.</w:t>
      </w:r>
      <w:r w:rsidR="00BA2C74">
        <w:rPr>
          <w:rFonts w:ascii="Arial" w:hAnsi="Arial" w:cs="Arial"/>
          <w:color w:val="000000" w:themeColor="text1"/>
        </w:rPr>
        <w:t xml:space="preserve"> Assumed homologous with the GMax.</w:t>
      </w:r>
    </w:p>
    <w:p w14:paraId="4CBE799F" w14:textId="0E6D1F2F"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Tensor fasciae latae</w:t>
      </w:r>
      <w:r w:rsidR="00BA2C74">
        <w:rPr>
          <w:rFonts w:ascii="Arial" w:hAnsi="Arial" w:cs="Arial"/>
          <w:i/>
          <w:iCs/>
          <w:color w:val="000000" w:themeColor="text1"/>
        </w:rPr>
        <w:t xml:space="preserve"> (TFL)</w:t>
      </w:r>
    </w:p>
    <w:p w14:paraId="424CA1ED" w14:textId="5CEA2D19" w:rsidR="00047BC6" w:rsidRPr="00CD6B2D" w:rsidRDefault="00DB3D8E" w:rsidP="00047BC6">
      <w:pPr>
        <w:jc w:val="both"/>
        <w:rPr>
          <w:rFonts w:ascii="Arial" w:hAnsi="Arial" w:cs="Arial"/>
          <w:color w:val="000000" w:themeColor="text1"/>
        </w:rPr>
      </w:pPr>
      <w:r w:rsidRPr="00CD6B2D">
        <w:rPr>
          <w:rFonts w:ascii="Arial" w:hAnsi="Arial" w:cs="Arial"/>
          <w:color w:val="000000" w:themeColor="text1"/>
        </w:rPr>
        <w:t>A</w:t>
      </w:r>
      <w:r w:rsidR="00047BC6" w:rsidRPr="00CD6B2D">
        <w:rPr>
          <w:rFonts w:ascii="Arial" w:hAnsi="Arial" w:cs="Arial"/>
          <w:color w:val="000000" w:themeColor="text1"/>
        </w:rPr>
        <w:t>rising from the ASIS and inserting into the iliotibial tract.</w:t>
      </w:r>
      <w:r w:rsidRPr="00CD6B2D">
        <w:rPr>
          <w:rFonts w:ascii="Arial" w:hAnsi="Arial" w:cs="Arial"/>
          <w:color w:val="000000" w:themeColor="text1"/>
        </w:rPr>
        <w:t xml:space="preserve"> In the siamang, the proximal region is fused </w:t>
      </w:r>
      <w:r w:rsidR="00047BC6" w:rsidRPr="00CD6B2D">
        <w:rPr>
          <w:rFonts w:ascii="Arial" w:hAnsi="Arial" w:cs="Arial"/>
          <w:color w:val="000000" w:themeColor="text1"/>
        </w:rPr>
        <w:t>with gluteus maximus.</w:t>
      </w:r>
    </w:p>
    <w:p w14:paraId="10ECE0C9" w14:textId="6A59A827"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lastRenderedPageBreak/>
        <w:t>Gluteus medius</w:t>
      </w:r>
      <w:r w:rsidR="00BA2C74">
        <w:rPr>
          <w:rFonts w:ascii="Arial" w:hAnsi="Arial" w:cs="Arial"/>
          <w:i/>
          <w:iCs/>
          <w:color w:val="000000" w:themeColor="text1"/>
        </w:rPr>
        <w:t xml:space="preserve"> (GMed)</w:t>
      </w:r>
    </w:p>
    <w:p w14:paraId="6A7830C5" w14:textId="77777777"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Conserved across all taxa, arising from the lateral ilium and inserting on the lateral surface of the greater trochanter. Siamangs show partial fusion with piriformis.</w:t>
      </w:r>
    </w:p>
    <w:p w14:paraId="1FF3E6C9" w14:textId="3058D0FF"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Gluteus minimus</w:t>
      </w:r>
      <w:r w:rsidR="00BA2C74">
        <w:rPr>
          <w:rFonts w:ascii="Arial" w:hAnsi="Arial" w:cs="Arial"/>
          <w:i/>
          <w:iCs/>
          <w:color w:val="000000" w:themeColor="text1"/>
        </w:rPr>
        <w:t xml:space="preserve"> (GMin)</w:t>
      </w:r>
    </w:p>
    <w:p w14:paraId="6AE9721A" w14:textId="2FE34CDB"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 xml:space="preserve">Present in all taxa, arising from the dorsolateral ilium and inserting on the anterior surface of the greater trochanter. </w:t>
      </w:r>
    </w:p>
    <w:p w14:paraId="18CB3B6B" w14:textId="1B12A123"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Ischiofemoralis</w:t>
      </w:r>
      <w:r w:rsidR="00BA2C74">
        <w:rPr>
          <w:rFonts w:ascii="Arial" w:hAnsi="Arial" w:cs="Arial"/>
          <w:i/>
          <w:iCs/>
          <w:color w:val="000000" w:themeColor="text1"/>
        </w:rPr>
        <w:t xml:space="preserve"> (IF)</w:t>
      </w:r>
    </w:p>
    <w:p w14:paraId="47B347F8" w14:textId="5CBA85DA"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Absent in</w:t>
      </w:r>
      <w:r w:rsidR="00546DFC" w:rsidRPr="00CD6B2D">
        <w:rPr>
          <w:rFonts w:ascii="Arial" w:hAnsi="Arial" w:cs="Arial"/>
          <w:color w:val="000000" w:themeColor="text1"/>
        </w:rPr>
        <w:t xml:space="preserve"> the</w:t>
      </w:r>
      <w:r w:rsidRPr="00CD6B2D">
        <w:rPr>
          <w:rFonts w:ascii="Arial" w:hAnsi="Arial" w:cs="Arial"/>
          <w:color w:val="000000" w:themeColor="text1"/>
        </w:rPr>
        <w:t xml:space="preserve"> macaque, gibbon, </w:t>
      </w:r>
      <w:r w:rsidR="00546DFC" w:rsidRPr="00CD6B2D">
        <w:rPr>
          <w:rFonts w:ascii="Arial" w:hAnsi="Arial" w:cs="Arial"/>
          <w:color w:val="000000" w:themeColor="text1"/>
        </w:rPr>
        <w:t>siamang, gorilla and human</w:t>
      </w:r>
      <w:r w:rsidRPr="00CD6B2D">
        <w:rPr>
          <w:rFonts w:ascii="Arial" w:hAnsi="Arial" w:cs="Arial"/>
          <w:color w:val="000000" w:themeColor="text1"/>
        </w:rPr>
        <w:t xml:space="preserve">. Present in </w:t>
      </w:r>
      <w:r w:rsidR="00546DFC" w:rsidRPr="00CD6B2D">
        <w:rPr>
          <w:rFonts w:ascii="Arial" w:hAnsi="Arial" w:cs="Arial"/>
          <w:color w:val="000000" w:themeColor="text1"/>
        </w:rPr>
        <w:t>chimpanzee and</w:t>
      </w:r>
      <w:r w:rsidRPr="00CD6B2D">
        <w:rPr>
          <w:rFonts w:ascii="Arial" w:hAnsi="Arial" w:cs="Arial"/>
          <w:color w:val="000000" w:themeColor="text1"/>
        </w:rPr>
        <w:t xml:space="preserve"> orangutan, with origins near the adductor magnus insertion </w:t>
      </w:r>
      <w:r w:rsidR="00546DFC" w:rsidRPr="00CD6B2D">
        <w:rPr>
          <w:rFonts w:ascii="Arial" w:hAnsi="Arial" w:cs="Arial"/>
          <w:color w:val="000000" w:themeColor="text1"/>
        </w:rPr>
        <w:t>(</w:t>
      </w:r>
      <w:r w:rsidRPr="00CD6B2D">
        <w:rPr>
          <w:rFonts w:ascii="Arial" w:hAnsi="Arial" w:cs="Arial"/>
          <w:color w:val="000000" w:themeColor="text1"/>
        </w:rPr>
        <w:t>ischial tuberosity</w:t>
      </w:r>
      <w:r w:rsidR="00546DFC" w:rsidRPr="00CD6B2D">
        <w:rPr>
          <w:rFonts w:ascii="Arial" w:hAnsi="Arial" w:cs="Arial"/>
          <w:color w:val="000000" w:themeColor="text1"/>
        </w:rPr>
        <w:t>)</w:t>
      </w:r>
      <w:r w:rsidRPr="00CD6B2D">
        <w:rPr>
          <w:rFonts w:ascii="Arial" w:hAnsi="Arial" w:cs="Arial"/>
          <w:color w:val="000000" w:themeColor="text1"/>
        </w:rPr>
        <w:t xml:space="preserve"> and insertions on the distal femoral shaft</w:t>
      </w:r>
      <w:r w:rsidR="00546DFC" w:rsidRPr="00CD6B2D">
        <w:rPr>
          <w:rFonts w:ascii="Arial" w:hAnsi="Arial" w:cs="Arial"/>
          <w:color w:val="000000" w:themeColor="text1"/>
        </w:rPr>
        <w:t>, semi-</w:t>
      </w:r>
      <w:r w:rsidRPr="00CD6B2D">
        <w:rPr>
          <w:rFonts w:ascii="Arial" w:hAnsi="Arial" w:cs="Arial"/>
          <w:color w:val="000000" w:themeColor="text1"/>
        </w:rPr>
        <w:t>fused with vastus lateralis</w:t>
      </w:r>
      <w:r w:rsidR="00546DFC" w:rsidRPr="00CD6B2D">
        <w:rPr>
          <w:rFonts w:ascii="Arial" w:hAnsi="Arial" w:cs="Arial"/>
          <w:color w:val="000000" w:themeColor="text1"/>
        </w:rPr>
        <w:t xml:space="preserve"> in the orangutan</w:t>
      </w:r>
      <w:r w:rsidRPr="00CD6B2D">
        <w:rPr>
          <w:rFonts w:ascii="Arial" w:hAnsi="Arial" w:cs="Arial"/>
          <w:color w:val="000000" w:themeColor="text1"/>
        </w:rPr>
        <w:t xml:space="preserve"> or gluteus maximus</w:t>
      </w:r>
      <w:r w:rsidR="00546DFC" w:rsidRPr="00CD6B2D">
        <w:rPr>
          <w:rFonts w:ascii="Arial" w:hAnsi="Arial" w:cs="Arial"/>
          <w:color w:val="000000" w:themeColor="text1"/>
        </w:rPr>
        <w:t xml:space="preserve"> in the chimpanzee</w:t>
      </w:r>
      <w:r w:rsidRPr="00CD6B2D">
        <w:rPr>
          <w:rFonts w:ascii="Arial" w:hAnsi="Arial" w:cs="Arial"/>
          <w:color w:val="000000" w:themeColor="text1"/>
        </w:rPr>
        <w:t xml:space="preserve">. </w:t>
      </w:r>
    </w:p>
    <w:p w14:paraId="43DCD59A" w14:textId="197321DF"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Iliacus</w:t>
      </w:r>
      <w:r w:rsidR="00BA2C74">
        <w:rPr>
          <w:rFonts w:ascii="Arial" w:hAnsi="Arial" w:cs="Arial"/>
          <w:i/>
          <w:iCs/>
          <w:color w:val="000000" w:themeColor="text1"/>
        </w:rPr>
        <w:t xml:space="preserve"> (ILI)</w:t>
      </w:r>
    </w:p>
    <w:p w14:paraId="09FB4CFD" w14:textId="77777777"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Conserved across taxa, arising from the iliac fossa and inserting on the lesser trochanter.</w:t>
      </w:r>
    </w:p>
    <w:p w14:paraId="1502C253" w14:textId="66E00738" w:rsidR="00721588" w:rsidRPr="00CD6B2D" w:rsidRDefault="00721588" w:rsidP="00721588">
      <w:pPr>
        <w:jc w:val="both"/>
        <w:rPr>
          <w:rFonts w:ascii="Arial" w:hAnsi="Arial" w:cs="Arial"/>
          <w:i/>
          <w:iCs/>
          <w:color w:val="000000" w:themeColor="text1"/>
        </w:rPr>
      </w:pPr>
      <w:r w:rsidRPr="00CD6B2D">
        <w:rPr>
          <w:rFonts w:ascii="Arial" w:hAnsi="Arial" w:cs="Arial"/>
          <w:i/>
          <w:iCs/>
          <w:color w:val="000000" w:themeColor="text1"/>
        </w:rPr>
        <w:t>Sartorius</w:t>
      </w:r>
      <w:r w:rsidR="00BA2C74">
        <w:rPr>
          <w:rFonts w:ascii="Arial" w:hAnsi="Arial" w:cs="Arial"/>
          <w:i/>
          <w:iCs/>
          <w:color w:val="000000" w:themeColor="text1"/>
        </w:rPr>
        <w:t xml:space="preserve"> (SAR)</w:t>
      </w:r>
    </w:p>
    <w:p w14:paraId="25E5A87F" w14:textId="767DC868" w:rsidR="00721588" w:rsidRPr="00CD6B2D" w:rsidRDefault="00721588" w:rsidP="00721588">
      <w:pPr>
        <w:jc w:val="both"/>
        <w:rPr>
          <w:rFonts w:ascii="Arial" w:hAnsi="Arial" w:cs="Arial"/>
          <w:color w:val="000000" w:themeColor="text1"/>
        </w:rPr>
      </w:pPr>
      <w:r w:rsidRPr="00CD6B2D">
        <w:rPr>
          <w:rFonts w:ascii="Arial" w:hAnsi="Arial" w:cs="Arial"/>
          <w:color w:val="000000" w:themeColor="text1"/>
        </w:rPr>
        <w:t xml:space="preserve">Arises from the ASIS and inserts on the medial tibial shaft across all taxa, superficial to gracilis. </w:t>
      </w:r>
    </w:p>
    <w:p w14:paraId="13ACE051" w14:textId="30AC4A28"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Popliteus</w:t>
      </w:r>
      <w:r w:rsidR="00BA2C74">
        <w:rPr>
          <w:rFonts w:ascii="Arial" w:hAnsi="Arial" w:cs="Arial"/>
          <w:i/>
          <w:iCs/>
          <w:color w:val="000000" w:themeColor="text1"/>
        </w:rPr>
        <w:t xml:space="preserve"> (POP)</w:t>
      </w:r>
    </w:p>
    <w:p w14:paraId="6A2648A8" w14:textId="25660137"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 xml:space="preserve">Consistently arises from the lateral femoral condyle and inserts on the posterior tibia above the soleal line across all species. </w:t>
      </w:r>
    </w:p>
    <w:p w14:paraId="59BE4EF0" w14:textId="2147D598"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Rectus femoris</w:t>
      </w:r>
      <w:r w:rsidR="00BA2C74">
        <w:rPr>
          <w:rFonts w:ascii="Arial" w:hAnsi="Arial" w:cs="Arial"/>
          <w:i/>
          <w:iCs/>
          <w:color w:val="000000" w:themeColor="text1"/>
        </w:rPr>
        <w:t xml:space="preserve"> (RF)</w:t>
      </w:r>
    </w:p>
    <w:p w14:paraId="74E73B54" w14:textId="7C27E413"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Originates from the AIIS and inserts via the patellar tendon in all taxa.</w:t>
      </w:r>
    </w:p>
    <w:p w14:paraId="7D217632" w14:textId="5186113A" w:rsidR="00721588" w:rsidRPr="00CD6B2D" w:rsidRDefault="00721588" w:rsidP="00721588">
      <w:pPr>
        <w:jc w:val="both"/>
        <w:rPr>
          <w:rFonts w:ascii="Arial" w:hAnsi="Arial" w:cs="Arial"/>
          <w:i/>
          <w:iCs/>
          <w:color w:val="000000" w:themeColor="text1"/>
        </w:rPr>
      </w:pPr>
      <w:r w:rsidRPr="00CD6B2D">
        <w:rPr>
          <w:rFonts w:ascii="Arial" w:hAnsi="Arial" w:cs="Arial"/>
          <w:i/>
          <w:iCs/>
          <w:color w:val="000000" w:themeColor="text1"/>
        </w:rPr>
        <w:t>Vastus lateralis</w:t>
      </w:r>
      <w:r w:rsidR="00BA2C74">
        <w:rPr>
          <w:rFonts w:ascii="Arial" w:hAnsi="Arial" w:cs="Arial"/>
          <w:i/>
          <w:iCs/>
          <w:color w:val="000000" w:themeColor="text1"/>
        </w:rPr>
        <w:t xml:space="preserve"> (VL)</w:t>
      </w:r>
      <w:r w:rsidRPr="00CD6B2D">
        <w:rPr>
          <w:rFonts w:ascii="Arial" w:hAnsi="Arial" w:cs="Arial"/>
          <w:i/>
          <w:iCs/>
          <w:color w:val="000000" w:themeColor="text1"/>
        </w:rPr>
        <w:t>, intermedius</w:t>
      </w:r>
      <w:r w:rsidR="00BA2C74">
        <w:rPr>
          <w:rFonts w:ascii="Arial" w:hAnsi="Arial" w:cs="Arial"/>
          <w:i/>
          <w:iCs/>
          <w:color w:val="000000" w:themeColor="text1"/>
        </w:rPr>
        <w:t xml:space="preserve"> (VI)</w:t>
      </w:r>
      <w:r w:rsidRPr="00CD6B2D">
        <w:rPr>
          <w:rFonts w:ascii="Arial" w:hAnsi="Arial" w:cs="Arial"/>
          <w:i/>
          <w:iCs/>
          <w:color w:val="000000" w:themeColor="text1"/>
        </w:rPr>
        <w:t>, medialis</w:t>
      </w:r>
      <w:r w:rsidR="00BA2C74">
        <w:rPr>
          <w:rFonts w:ascii="Arial" w:hAnsi="Arial" w:cs="Arial"/>
          <w:i/>
          <w:iCs/>
          <w:color w:val="000000" w:themeColor="text1"/>
        </w:rPr>
        <w:t xml:space="preserve"> (VM)</w:t>
      </w:r>
    </w:p>
    <w:p w14:paraId="07C056C0" w14:textId="618F72E1" w:rsidR="00721588" w:rsidRPr="00CD6B2D" w:rsidRDefault="00721588" w:rsidP="00721588">
      <w:pPr>
        <w:jc w:val="both"/>
        <w:rPr>
          <w:rFonts w:ascii="Arial" w:hAnsi="Arial" w:cs="Arial"/>
          <w:color w:val="000000" w:themeColor="text1"/>
        </w:rPr>
      </w:pPr>
      <w:r w:rsidRPr="00CD6B2D">
        <w:rPr>
          <w:rFonts w:ascii="Arial" w:hAnsi="Arial" w:cs="Arial"/>
          <w:color w:val="000000" w:themeColor="text1"/>
        </w:rPr>
        <w:t>All three vasti show conserved origins on the femoral shaft (greater trochanter/linea aspera for lateralis; ventral shaft for intermedius; medial shaft for medialis) and insert via the patellar tendon.</w:t>
      </w:r>
    </w:p>
    <w:p w14:paraId="65DC062A" w14:textId="2A322081"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Gastrocnemius (medial and lateral heads)</w:t>
      </w:r>
      <w:r w:rsidR="00575307">
        <w:rPr>
          <w:rFonts w:ascii="Arial" w:hAnsi="Arial" w:cs="Arial"/>
          <w:i/>
          <w:iCs/>
          <w:color w:val="000000" w:themeColor="text1"/>
        </w:rPr>
        <w:t xml:space="preserve"> (MG and LG)</w:t>
      </w:r>
    </w:p>
    <w:p w14:paraId="44E574D1" w14:textId="5736FA61"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 xml:space="preserve">Both heads originate from their respective femoral condyles and insert on the posterior calcaneus via the Achilles tendon. </w:t>
      </w:r>
    </w:p>
    <w:p w14:paraId="266FDB0D" w14:textId="06F49F23"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Biceps femoris (long head)</w:t>
      </w:r>
      <w:r w:rsidR="00575307">
        <w:rPr>
          <w:rFonts w:ascii="Arial" w:hAnsi="Arial" w:cs="Arial"/>
          <w:i/>
          <w:iCs/>
          <w:color w:val="000000" w:themeColor="text1"/>
        </w:rPr>
        <w:t xml:space="preserve"> (BFL)</w:t>
      </w:r>
    </w:p>
    <w:p w14:paraId="2C333B32" w14:textId="39F6AC2F"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Originates from the ischial tuberosity in all species</w:t>
      </w:r>
      <w:r w:rsidR="00D112D0" w:rsidRPr="00CD6B2D">
        <w:rPr>
          <w:rFonts w:ascii="Arial" w:hAnsi="Arial" w:cs="Arial"/>
          <w:color w:val="000000" w:themeColor="text1"/>
        </w:rPr>
        <w:t xml:space="preserve"> and inserts in to the tibial head, tibial tuberosity, and fibula.</w:t>
      </w:r>
    </w:p>
    <w:p w14:paraId="4472ACDA" w14:textId="51FF9F17"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Biceps femoris (short head)</w:t>
      </w:r>
      <w:r w:rsidR="00575307">
        <w:rPr>
          <w:rFonts w:ascii="Arial" w:hAnsi="Arial" w:cs="Arial"/>
          <w:i/>
          <w:iCs/>
          <w:color w:val="000000" w:themeColor="text1"/>
        </w:rPr>
        <w:t xml:space="preserve"> (BFS)</w:t>
      </w:r>
    </w:p>
    <w:p w14:paraId="7E5E102B" w14:textId="5178A920"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 xml:space="preserve">Arises from the dorsolateral femoral shaft and inserts on the fibular head in most taxa. </w:t>
      </w:r>
      <w:r w:rsidR="00D112D0" w:rsidRPr="00CD6B2D">
        <w:rPr>
          <w:rFonts w:ascii="Arial" w:hAnsi="Arial" w:cs="Arial"/>
          <w:color w:val="000000" w:themeColor="text1"/>
        </w:rPr>
        <w:t>The chimpanzee had an additional insertion into the tibial shaft.</w:t>
      </w:r>
    </w:p>
    <w:p w14:paraId="799F2DD0" w14:textId="7767C65E"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Gracilis</w:t>
      </w:r>
      <w:r w:rsidR="00575307">
        <w:rPr>
          <w:rFonts w:ascii="Arial" w:hAnsi="Arial" w:cs="Arial"/>
          <w:i/>
          <w:iCs/>
          <w:color w:val="000000" w:themeColor="text1"/>
        </w:rPr>
        <w:t xml:space="preserve"> (GRA)</w:t>
      </w:r>
    </w:p>
    <w:p w14:paraId="6AAD8FDA" w14:textId="1CFD0778"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 xml:space="preserve">Originates from the body and inferior pubic ramus and inserts on the ventromedial tibia in all species. </w:t>
      </w:r>
    </w:p>
    <w:p w14:paraId="1F7491D0" w14:textId="5BE1CB54"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Semimembranosus</w:t>
      </w:r>
      <w:r w:rsidR="00575307">
        <w:rPr>
          <w:rFonts w:ascii="Arial" w:hAnsi="Arial" w:cs="Arial"/>
          <w:i/>
          <w:iCs/>
          <w:color w:val="000000" w:themeColor="text1"/>
        </w:rPr>
        <w:t xml:space="preserve"> (SM)</w:t>
      </w:r>
    </w:p>
    <w:p w14:paraId="560A9674" w14:textId="57FAF017"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lastRenderedPageBreak/>
        <w:t>Originates from the ischial tuberosity</w:t>
      </w:r>
      <w:r w:rsidR="00D112D0" w:rsidRPr="00CD6B2D">
        <w:rPr>
          <w:rFonts w:ascii="Arial" w:hAnsi="Arial" w:cs="Arial"/>
          <w:color w:val="000000" w:themeColor="text1"/>
        </w:rPr>
        <w:t xml:space="preserve"> in all specimens</w:t>
      </w:r>
      <w:r w:rsidRPr="00CD6B2D">
        <w:rPr>
          <w:rFonts w:ascii="Arial" w:hAnsi="Arial" w:cs="Arial"/>
          <w:color w:val="000000" w:themeColor="text1"/>
        </w:rPr>
        <w:t xml:space="preserve">. Insertions vary: macaques show an accessory head inserting proximally on the femoral condyle, whereas </w:t>
      </w:r>
      <w:r w:rsidR="00D112D0" w:rsidRPr="00CD6B2D">
        <w:rPr>
          <w:rFonts w:ascii="Arial" w:hAnsi="Arial" w:cs="Arial"/>
          <w:color w:val="000000" w:themeColor="text1"/>
        </w:rPr>
        <w:t>all other specimens</w:t>
      </w:r>
      <w:r w:rsidRPr="00CD6B2D">
        <w:rPr>
          <w:rFonts w:ascii="Arial" w:hAnsi="Arial" w:cs="Arial"/>
          <w:color w:val="000000" w:themeColor="text1"/>
        </w:rPr>
        <w:t xml:space="preserve"> insert medially on the tibial tuberosity or tibial condyle.</w:t>
      </w:r>
    </w:p>
    <w:p w14:paraId="6F3ABB53" w14:textId="50CB3D4E"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Semitendinosus</w:t>
      </w:r>
      <w:r w:rsidR="00575307">
        <w:rPr>
          <w:rFonts w:ascii="Arial" w:hAnsi="Arial" w:cs="Arial"/>
          <w:i/>
          <w:iCs/>
          <w:color w:val="000000" w:themeColor="text1"/>
        </w:rPr>
        <w:t xml:space="preserve"> (ST)</w:t>
      </w:r>
    </w:p>
    <w:p w14:paraId="707753FA" w14:textId="50D99332" w:rsidR="00047BC6" w:rsidRPr="00CD6B2D" w:rsidRDefault="00047BC6" w:rsidP="00D112D0">
      <w:pPr>
        <w:jc w:val="both"/>
        <w:rPr>
          <w:rFonts w:ascii="Arial" w:hAnsi="Arial" w:cs="Arial"/>
          <w:color w:val="000000" w:themeColor="text1"/>
        </w:rPr>
      </w:pPr>
      <w:r w:rsidRPr="00CD6B2D">
        <w:rPr>
          <w:rFonts w:ascii="Arial" w:hAnsi="Arial" w:cs="Arial"/>
          <w:color w:val="000000" w:themeColor="text1"/>
        </w:rPr>
        <w:t xml:space="preserve">Arises from the ischial tuberosity and inserts on the medial proximal tibia, distal to gracilis. </w:t>
      </w:r>
    </w:p>
    <w:p w14:paraId="2CDD9927" w14:textId="387D52D8"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Flexor digitorum longus</w:t>
      </w:r>
      <w:r w:rsidR="00575307">
        <w:rPr>
          <w:rFonts w:ascii="Arial" w:hAnsi="Arial" w:cs="Arial"/>
          <w:i/>
          <w:iCs/>
          <w:color w:val="000000" w:themeColor="text1"/>
        </w:rPr>
        <w:t xml:space="preserve"> (FDL)</w:t>
      </w:r>
    </w:p>
    <w:p w14:paraId="4C494668" w14:textId="73ED9909"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 xml:space="preserve">Arises from the posterior tibial shaft in all taxa. Insertions vary: macaques and humans insert on distal phalanges II–V; </w:t>
      </w:r>
      <w:r w:rsidR="0000046C" w:rsidRPr="00CD6B2D">
        <w:rPr>
          <w:rFonts w:ascii="Arial" w:hAnsi="Arial" w:cs="Arial"/>
          <w:color w:val="000000" w:themeColor="text1"/>
        </w:rPr>
        <w:t>the chimpanzee</w:t>
      </w:r>
      <w:r w:rsidRPr="00CD6B2D">
        <w:rPr>
          <w:rFonts w:ascii="Arial" w:hAnsi="Arial" w:cs="Arial"/>
          <w:color w:val="000000" w:themeColor="text1"/>
        </w:rPr>
        <w:t xml:space="preserve"> show</w:t>
      </w:r>
      <w:r w:rsidR="0000046C" w:rsidRPr="00CD6B2D">
        <w:rPr>
          <w:rFonts w:ascii="Arial" w:hAnsi="Arial" w:cs="Arial"/>
          <w:color w:val="000000" w:themeColor="text1"/>
        </w:rPr>
        <w:t>ed</w:t>
      </w:r>
      <w:r w:rsidRPr="00CD6B2D">
        <w:rPr>
          <w:rFonts w:ascii="Arial" w:hAnsi="Arial" w:cs="Arial"/>
          <w:color w:val="000000" w:themeColor="text1"/>
        </w:rPr>
        <w:t xml:space="preserve"> fusion with flexor hallucis longus, altering digital distribution.</w:t>
      </w:r>
    </w:p>
    <w:p w14:paraId="321EEA6F" w14:textId="74861D12"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Flexor digitorum brevis</w:t>
      </w:r>
      <w:r w:rsidR="00575307">
        <w:rPr>
          <w:rFonts w:ascii="Arial" w:hAnsi="Arial" w:cs="Arial"/>
          <w:i/>
          <w:iCs/>
          <w:color w:val="000000" w:themeColor="text1"/>
        </w:rPr>
        <w:t xml:space="preserve"> (FDB)</w:t>
      </w:r>
    </w:p>
    <w:p w14:paraId="67147851" w14:textId="77E8C334" w:rsidR="00047BC6" w:rsidRPr="00CD6B2D" w:rsidRDefault="00F476D9" w:rsidP="00047BC6">
      <w:pPr>
        <w:jc w:val="both"/>
        <w:rPr>
          <w:rFonts w:ascii="Arial" w:hAnsi="Arial" w:cs="Arial"/>
          <w:color w:val="000000" w:themeColor="text1"/>
        </w:rPr>
      </w:pPr>
      <w:r w:rsidRPr="00CD6B2D">
        <w:rPr>
          <w:rFonts w:ascii="Arial" w:hAnsi="Arial" w:cs="Arial"/>
          <w:color w:val="000000" w:themeColor="text1"/>
        </w:rPr>
        <w:t xml:space="preserve">Arises from the medial process of the </w:t>
      </w:r>
      <w:r w:rsidR="00047BC6" w:rsidRPr="00CD6B2D">
        <w:rPr>
          <w:rFonts w:ascii="Arial" w:hAnsi="Arial" w:cs="Arial"/>
          <w:color w:val="000000" w:themeColor="text1"/>
        </w:rPr>
        <w:t xml:space="preserve">calcaneus </w:t>
      </w:r>
      <w:r w:rsidRPr="00CD6B2D">
        <w:rPr>
          <w:rFonts w:ascii="Arial" w:hAnsi="Arial" w:cs="Arial"/>
          <w:color w:val="000000" w:themeColor="text1"/>
        </w:rPr>
        <w:t xml:space="preserve">in all species. Insertions vary: in the human and the orangutan, it inserted </w:t>
      </w:r>
      <w:r w:rsidR="00047BC6" w:rsidRPr="00CD6B2D">
        <w:rPr>
          <w:rFonts w:ascii="Arial" w:hAnsi="Arial" w:cs="Arial"/>
          <w:color w:val="000000" w:themeColor="text1"/>
        </w:rPr>
        <w:t xml:space="preserve">on middle phalanges II–V. </w:t>
      </w:r>
      <w:r w:rsidRPr="00CD6B2D">
        <w:rPr>
          <w:rFonts w:ascii="Arial" w:hAnsi="Arial" w:cs="Arial"/>
          <w:color w:val="000000" w:themeColor="text1"/>
        </w:rPr>
        <w:t xml:space="preserve">In the gorilla, chimpanzee, macaque, siamang and gibbon, it instead inserted into the interosseous membrane and dorsal fibula. </w:t>
      </w:r>
    </w:p>
    <w:p w14:paraId="1758AD05" w14:textId="0CC91D9D"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Flexor hallucis longus</w:t>
      </w:r>
      <w:r w:rsidR="00575307">
        <w:rPr>
          <w:rFonts w:ascii="Arial" w:hAnsi="Arial" w:cs="Arial"/>
          <w:i/>
          <w:iCs/>
          <w:color w:val="000000" w:themeColor="text1"/>
        </w:rPr>
        <w:t xml:space="preserve"> (FHL)</w:t>
      </w:r>
    </w:p>
    <w:p w14:paraId="3DF1A984" w14:textId="729242B7" w:rsidR="00F476D9" w:rsidRPr="00CD6B2D" w:rsidRDefault="00F476D9" w:rsidP="00F476D9">
      <w:pPr>
        <w:jc w:val="both"/>
        <w:rPr>
          <w:rFonts w:ascii="Arial" w:hAnsi="Arial" w:cs="Arial"/>
          <w:color w:val="000000" w:themeColor="text1"/>
        </w:rPr>
      </w:pPr>
      <w:r w:rsidRPr="00CD6B2D">
        <w:rPr>
          <w:rFonts w:ascii="Arial" w:hAnsi="Arial" w:cs="Arial"/>
          <w:color w:val="000000" w:themeColor="text1"/>
        </w:rPr>
        <w:t xml:space="preserve">Consistently originates from the interosseous membrane and dorsal surface of the fibula across all taxa. In the macaque, siamang and gibbon, it inserts on the base of the hallux and also contributes tendons to digits II–IV via fusion with flexor digitorum longus. In the human, gorilla and orangutan, it has a single insertion on the distal phalanx of the hallux. The chimpanzee exhibits dual insertions: on digit 1 and digit 2, with fusion to flexor digitorum longus. </w:t>
      </w:r>
    </w:p>
    <w:p w14:paraId="4F82129B" w14:textId="0E3BF8B6"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Flexor hallucis brevis</w:t>
      </w:r>
      <w:r w:rsidR="00575307">
        <w:rPr>
          <w:rFonts w:ascii="Arial" w:hAnsi="Arial" w:cs="Arial"/>
          <w:i/>
          <w:iCs/>
          <w:color w:val="000000" w:themeColor="text1"/>
        </w:rPr>
        <w:t xml:space="preserve"> (FHB)</w:t>
      </w:r>
    </w:p>
    <w:p w14:paraId="4C109634" w14:textId="3E7CF281"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Origins vary across midfoot structures</w:t>
      </w:r>
      <w:r w:rsidR="00745DF0" w:rsidRPr="00CD6B2D">
        <w:rPr>
          <w:rFonts w:ascii="Arial" w:hAnsi="Arial" w:cs="Arial"/>
          <w:color w:val="000000" w:themeColor="text1"/>
        </w:rPr>
        <w:t xml:space="preserve">: </w:t>
      </w:r>
      <w:r w:rsidRPr="00CD6B2D">
        <w:rPr>
          <w:rFonts w:ascii="Arial" w:hAnsi="Arial" w:cs="Arial"/>
          <w:color w:val="000000" w:themeColor="text1"/>
        </w:rPr>
        <w:t>cuneonavicular ligament</w:t>
      </w:r>
      <w:r w:rsidR="00745DF0" w:rsidRPr="00CD6B2D">
        <w:rPr>
          <w:rFonts w:ascii="Arial" w:hAnsi="Arial" w:cs="Arial"/>
          <w:color w:val="000000" w:themeColor="text1"/>
        </w:rPr>
        <w:t xml:space="preserve"> (macaque, gibbon, siamang)</w:t>
      </w:r>
      <w:r w:rsidRPr="00CD6B2D">
        <w:rPr>
          <w:rFonts w:ascii="Arial" w:hAnsi="Arial" w:cs="Arial"/>
          <w:color w:val="000000" w:themeColor="text1"/>
        </w:rPr>
        <w:t xml:space="preserve">, </w:t>
      </w:r>
      <w:r w:rsidR="00745DF0" w:rsidRPr="00CD6B2D">
        <w:rPr>
          <w:rFonts w:ascii="Arial" w:hAnsi="Arial" w:cs="Arial"/>
          <w:color w:val="000000" w:themeColor="text1"/>
        </w:rPr>
        <w:t xml:space="preserve">intermediate </w:t>
      </w:r>
      <w:r w:rsidRPr="00CD6B2D">
        <w:rPr>
          <w:rFonts w:ascii="Arial" w:hAnsi="Arial" w:cs="Arial"/>
          <w:color w:val="000000" w:themeColor="text1"/>
        </w:rPr>
        <w:t>cuneiform</w:t>
      </w:r>
      <w:r w:rsidR="00745DF0" w:rsidRPr="00CD6B2D">
        <w:rPr>
          <w:rFonts w:ascii="Arial" w:hAnsi="Arial" w:cs="Arial"/>
          <w:color w:val="000000" w:themeColor="text1"/>
        </w:rPr>
        <w:t xml:space="preserve"> (orangutan, gorilla, chimpanzee)</w:t>
      </w:r>
      <w:r w:rsidRPr="00CD6B2D">
        <w:rPr>
          <w:rFonts w:ascii="Arial" w:hAnsi="Arial" w:cs="Arial"/>
          <w:color w:val="000000" w:themeColor="text1"/>
        </w:rPr>
        <w:t>,</w:t>
      </w:r>
      <w:r w:rsidR="00745DF0" w:rsidRPr="00CD6B2D">
        <w:rPr>
          <w:rFonts w:ascii="Arial" w:hAnsi="Arial" w:cs="Arial"/>
          <w:color w:val="000000" w:themeColor="text1"/>
        </w:rPr>
        <w:t xml:space="preserve"> and the</w:t>
      </w:r>
      <w:r w:rsidRPr="00CD6B2D">
        <w:rPr>
          <w:rFonts w:ascii="Arial" w:hAnsi="Arial" w:cs="Arial"/>
          <w:color w:val="000000" w:themeColor="text1"/>
        </w:rPr>
        <w:t xml:space="preserve"> cuboid</w:t>
      </w:r>
      <w:r w:rsidR="00745DF0" w:rsidRPr="00CD6B2D">
        <w:rPr>
          <w:rFonts w:ascii="Arial" w:hAnsi="Arial" w:cs="Arial"/>
          <w:color w:val="000000" w:themeColor="text1"/>
        </w:rPr>
        <w:t xml:space="preserve"> and lateral cuneiform (human)</w:t>
      </w:r>
      <w:r w:rsidRPr="00CD6B2D">
        <w:rPr>
          <w:rFonts w:ascii="Arial" w:hAnsi="Arial" w:cs="Arial"/>
          <w:color w:val="000000" w:themeColor="text1"/>
        </w:rPr>
        <w:t>. Inserts on the proximal phalanx of the hallux</w:t>
      </w:r>
      <w:r w:rsidR="00745DF0" w:rsidRPr="00CD6B2D">
        <w:rPr>
          <w:rFonts w:ascii="Arial" w:hAnsi="Arial" w:cs="Arial"/>
          <w:color w:val="000000" w:themeColor="text1"/>
        </w:rPr>
        <w:t xml:space="preserve"> in all taxa</w:t>
      </w:r>
      <w:r w:rsidRPr="00CD6B2D">
        <w:rPr>
          <w:rFonts w:ascii="Arial" w:hAnsi="Arial" w:cs="Arial"/>
          <w:color w:val="000000" w:themeColor="text1"/>
        </w:rPr>
        <w:t xml:space="preserve">. </w:t>
      </w:r>
    </w:p>
    <w:p w14:paraId="335F3730" w14:textId="59D924D1"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Soleus</w:t>
      </w:r>
      <w:r w:rsidR="00575307">
        <w:rPr>
          <w:rFonts w:ascii="Arial" w:hAnsi="Arial" w:cs="Arial"/>
          <w:i/>
          <w:iCs/>
          <w:color w:val="000000" w:themeColor="text1"/>
        </w:rPr>
        <w:t xml:space="preserve"> (SOL)</w:t>
      </w:r>
    </w:p>
    <w:p w14:paraId="66D4EE4C" w14:textId="7EEAE96A"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 xml:space="preserve">Arises from the fibular head and shaft and inserts on the posterior calcaneus via the Achilles tendon. </w:t>
      </w:r>
    </w:p>
    <w:p w14:paraId="11C6CCDA" w14:textId="06B67839"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Tibialis posterior</w:t>
      </w:r>
      <w:r w:rsidR="00575307">
        <w:rPr>
          <w:rFonts w:ascii="Arial" w:hAnsi="Arial" w:cs="Arial"/>
          <w:i/>
          <w:iCs/>
          <w:color w:val="000000" w:themeColor="text1"/>
        </w:rPr>
        <w:t xml:space="preserve"> (TP)</w:t>
      </w:r>
    </w:p>
    <w:p w14:paraId="12AD889C" w14:textId="77777777"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Arises from the interosseous membrane and adjacent tibia/fibula. Insertions vary slightly across midfoot bones but consistently include navicular and cuneiforms.</w:t>
      </w:r>
    </w:p>
    <w:p w14:paraId="265E921A" w14:textId="7E0C2257"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Plantaris</w:t>
      </w:r>
      <w:r w:rsidR="00575307">
        <w:rPr>
          <w:rFonts w:ascii="Arial" w:hAnsi="Arial" w:cs="Arial"/>
          <w:i/>
          <w:iCs/>
          <w:color w:val="000000" w:themeColor="text1"/>
        </w:rPr>
        <w:t xml:space="preserve"> (PLANT)</w:t>
      </w:r>
    </w:p>
    <w:p w14:paraId="1517C996" w14:textId="7A54EA6D"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Absent in</w:t>
      </w:r>
      <w:r w:rsidR="00C11FFF" w:rsidRPr="00CD6B2D">
        <w:rPr>
          <w:rFonts w:ascii="Arial" w:hAnsi="Arial" w:cs="Arial"/>
          <w:color w:val="000000" w:themeColor="text1"/>
        </w:rPr>
        <w:t xml:space="preserve"> the</w:t>
      </w:r>
      <w:r w:rsidRPr="00CD6B2D">
        <w:rPr>
          <w:rFonts w:ascii="Arial" w:hAnsi="Arial" w:cs="Arial"/>
          <w:color w:val="000000" w:themeColor="text1"/>
        </w:rPr>
        <w:t xml:space="preserve"> macaque, </w:t>
      </w:r>
      <w:r w:rsidR="00C11FFF" w:rsidRPr="00CD6B2D">
        <w:rPr>
          <w:rFonts w:ascii="Arial" w:hAnsi="Arial" w:cs="Arial"/>
          <w:color w:val="000000" w:themeColor="text1"/>
        </w:rPr>
        <w:t>orangutan</w:t>
      </w:r>
      <w:r w:rsidRPr="00CD6B2D">
        <w:rPr>
          <w:rFonts w:ascii="Arial" w:hAnsi="Arial" w:cs="Arial"/>
          <w:color w:val="000000" w:themeColor="text1"/>
        </w:rPr>
        <w:t xml:space="preserve">, gorilla, and human. Present in siamang, </w:t>
      </w:r>
      <w:r w:rsidR="00C11FFF" w:rsidRPr="00CD6B2D">
        <w:rPr>
          <w:rFonts w:ascii="Arial" w:hAnsi="Arial" w:cs="Arial"/>
          <w:color w:val="000000" w:themeColor="text1"/>
        </w:rPr>
        <w:t>gibbon</w:t>
      </w:r>
      <w:r w:rsidRPr="00CD6B2D">
        <w:rPr>
          <w:rFonts w:ascii="Arial" w:hAnsi="Arial" w:cs="Arial"/>
          <w:color w:val="000000" w:themeColor="text1"/>
        </w:rPr>
        <w:t xml:space="preserve">, and </w:t>
      </w:r>
      <w:r w:rsidR="00C11FFF" w:rsidRPr="00CD6B2D">
        <w:rPr>
          <w:rFonts w:ascii="Arial" w:hAnsi="Arial" w:cs="Arial"/>
          <w:color w:val="000000" w:themeColor="text1"/>
        </w:rPr>
        <w:t>chimpanzee</w:t>
      </w:r>
      <w:r w:rsidRPr="00CD6B2D">
        <w:rPr>
          <w:rFonts w:ascii="Arial" w:hAnsi="Arial" w:cs="Arial"/>
          <w:color w:val="000000" w:themeColor="text1"/>
        </w:rPr>
        <w:t>, arising from the lateral femoral supracondylar line and inserting on the posterior calcaneus.</w:t>
      </w:r>
    </w:p>
    <w:p w14:paraId="4C9D46AC" w14:textId="474A5A5B"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Extensor digitorum longus</w:t>
      </w:r>
      <w:r w:rsidR="00575307">
        <w:rPr>
          <w:rFonts w:ascii="Arial" w:hAnsi="Arial" w:cs="Arial"/>
          <w:i/>
          <w:iCs/>
          <w:color w:val="000000" w:themeColor="text1"/>
        </w:rPr>
        <w:t xml:space="preserve"> (EDL)</w:t>
      </w:r>
    </w:p>
    <w:p w14:paraId="48AD23C1" w14:textId="26B2545B"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 xml:space="preserve">Arises from the lateral tibial condyle and fibula, inserting on digits II–IV. </w:t>
      </w:r>
    </w:p>
    <w:p w14:paraId="354172D7" w14:textId="04A67F36"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Fibularis (peroneus) longus</w:t>
      </w:r>
      <w:r w:rsidR="00575307">
        <w:rPr>
          <w:rFonts w:ascii="Arial" w:hAnsi="Arial" w:cs="Arial"/>
          <w:i/>
          <w:iCs/>
          <w:color w:val="000000" w:themeColor="text1"/>
        </w:rPr>
        <w:t xml:space="preserve"> (PL)</w:t>
      </w:r>
    </w:p>
    <w:p w14:paraId="2ADF5FC6" w14:textId="75B41101"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Arises from the upper lateral fibula and inserts on the base of the first metatarsal and medial cuneiform</w:t>
      </w:r>
      <w:r w:rsidR="00C11FFF" w:rsidRPr="00CD6B2D">
        <w:rPr>
          <w:rFonts w:ascii="Arial" w:hAnsi="Arial" w:cs="Arial"/>
          <w:color w:val="000000" w:themeColor="text1"/>
        </w:rPr>
        <w:t xml:space="preserve"> (humans only)</w:t>
      </w:r>
      <w:r w:rsidRPr="00CD6B2D">
        <w:rPr>
          <w:rFonts w:ascii="Arial" w:hAnsi="Arial" w:cs="Arial"/>
          <w:color w:val="000000" w:themeColor="text1"/>
        </w:rPr>
        <w:t xml:space="preserve">. </w:t>
      </w:r>
    </w:p>
    <w:p w14:paraId="5669F536" w14:textId="3F207F54"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lastRenderedPageBreak/>
        <w:t>Tibialis anterior</w:t>
      </w:r>
      <w:r w:rsidR="00575307">
        <w:rPr>
          <w:rFonts w:ascii="Arial" w:hAnsi="Arial" w:cs="Arial"/>
          <w:i/>
          <w:iCs/>
          <w:color w:val="000000" w:themeColor="text1"/>
        </w:rPr>
        <w:t xml:space="preserve"> (TA)</w:t>
      </w:r>
    </w:p>
    <w:p w14:paraId="39F100FE" w14:textId="0DE9D036"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Arises from the lateral tibia. Insertions vary slightly: macaques and humans insert on the medial cuneiform and first metatarsal</w:t>
      </w:r>
      <w:r w:rsidR="00C11FFF" w:rsidRPr="00CD6B2D">
        <w:rPr>
          <w:rFonts w:ascii="Arial" w:hAnsi="Arial" w:cs="Arial"/>
          <w:color w:val="000000" w:themeColor="text1"/>
        </w:rPr>
        <w:t xml:space="preserve"> at proximal end</w:t>
      </w:r>
      <w:r w:rsidRPr="00CD6B2D">
        <w:rPr>
          <w:rFonts w:ascii="Arial" w:hAnsi="Arial" w:cs="Arial"/>
          <w:color w:val="000000" w:themeColor="text1"/>
        </w:rPr>
        <w:t>.</w:t>
      </w:r>
    </w:p>
    <w:p w14:paraId="6DBFEB16" w14:textId="32F2CC16"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Extensor hallucis longus</w:t>
      </w:r>
      <w:r w:rsidR="00575307">
        <w:rPr>
          <w:rFonts w:ascii="Arial" w:hAnsi="Arial" w:cs="Arial"/>
          <w:i/>
          <w:iCs/>
          <w:color w:val="000000" w:themeColor="text1"/>
        </w:rPr>
        <w:t xml:space="preserve"> (EHL)</w:t>
      </w:r>
    </w:p>
    <w:p w14:paraId="76AA8A86" w14:textId="7EC0E710"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 xml:space="preserve">Arises from the medial fibula and interosseous membrane, inserting on the distal phalanx of the hallux. </w:t>
      </w:r>
    </w:p>
    <w:p w14:paraId="0791274D" w14:textId="7BF8D93D"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Extensor hallucis brevis</w:t>
      </w:r>
      <w:r w:rsidR="00575307">
        <w:rPr>
          <w:rFonts w:ascii="Arial" w:hAnsi="Arial" w:cs="Arial"/>
          <w:i/>
          <w:iCs/>
          <w:color w:val="000000" w:themeColor="text1"/>
        </w:rPr>
        <w:t xml:space="preserve"> (EHB)</w:t>
      </w:r>
    </w:p>
    <w:p w14:paraId="669D68BF" w14:textId="6A09F1A7"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 xml:space="preserve">Arises from the dorsal calcaneus. Insertions vary: </w:t>
      </w:r>
      <w:r w:rsidR="00C11FFF" w:rsidRPr="00CD6B2D">
        <w:rPr>
          <w:rFonts w:ascii="Arial" w:hAnsi="Arial" w:cs="Arial"/>
          <w:color w:val="000000" w:themeColor="text1"/>
        </w:rPr>
        <w:t>chimpanzee</w:t>
      </w:r>
      <w:r w:rsidRPr="00CD6B2D">
        <w:rPr>
          <w:rFonts w:ascii="Arial" w:hAnsi="Arial" w:cs="Arial"/>
          <w:color w:val="000000" w:themeColor="text1"/>
        </w:rPr>
        <w:t xml:space="preserve"> </w:t>
      </w:r>
      <w:r w:rsidR="00C11FFF" w:rsidRPr="00CD6B2D">
        <w:rPr>
          <w:rFonts w:ascii="Arial" w:hAnsi="Arial" w:cs="Arial"/>
          <w:color w:val="000000" w:themeColor="text1"/>
        </w:rPr>
        <w:t xml:space="preserve">had </w:t>
      </w:r>
      <w:r w:rsidRPr="00CD6B2D">
        <w:rPr>
          <w:rFonts w:ascii="Arial" w:hAnsi="Arial" w:cs="Arial"/>
          <w:color w:val="000000" w:themeColor="text1"/>
        </w:rPr>
        <w:t>slips to digits 1–4</w:t>
      </w:r>
      <w:r w:rsidR="00C11FFF" w:rsidRPr="00CD6B2D">
        <w:rPr>
          <w:rFonts w:ascii="Arial" w:hAnsi="Arial" w:cs="Arial"/>
          <w:color w:val="000000" w:themeColor="text1"/>
        </w:rPr>
        <w:t>.In all other taxa, there was a single insertion to the base of proximal phalanx of the hallux.</w:t>
      </w:r>
    </w:p>
    <w:p w14:paraId="3FC854EF" w14:textId="692BE3DF"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Fibularis (peroneus) brevis</w:t>
      </w:r>
      <w:r w:rsidR="00575307">
        <w:rPr>
          <w:rFonts w:ascii="Arial" w:hAnsi="Arial" w:cs="Arial"/>
          <w:i/>
          <w:iCs/>
          <w:color w:val="000000" w:themeColor="text1"/>
        </w:rPr>
        <w:t xml:space="preserve"> (PB)</w:t>
      </w:r>
    </w:p>
    <w:p w14:paraId="036F1DBC" w14:textId="6B5B1825"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Arises from the distal lateral fibula and inserts on the tuberosity of the fifth metatarsal.</w:t>
      </w:r>
    </w:p>
    <w:p w14:paraId="58D45EA8" w14:textId="62D9F4D4" w:rsidR="00047BC6" w:rsidRPr="00CD6B2D" w:rsidRDefault="00047BC6" w:rsidP="00047BC6">
      <w:pPr>
        <w:jc w:val="both"/>
        <w:rPr>
          <w:rFonts w:ascii="Arial" w:hAnsi="Arial" w:cs="Arial"/>
          <w:i/>
          <w:iCs/>
          <w:color w:val="000000" w:themeColor="text1"/>
        </w:rPr>
      </w:pPr>
      <w:r w:rsidRPr="00CD6B2D">
        <w:rPr>
          <w:rFonts w:ascii="Arial" w:hAnsi="Arial" w:cs="Arial"/>
          <w:i/>
          <w:iCs/>
          <w:color w:val="000000" w:themeColor="text1"/>
        </w:rPr>
        <w:t>Abductor digiti minimi</w:t>
      </w:r>
      <w:r w:rsidR="00575307">
        <w:rPr>
          <w:rFonts w:ascii="Arial" w:hAnsi="Arial" w:cs="Arial"/>
          <w:i/>
          <w:iCs/>
          <w:color w:val="000000" w:themeColor="text1"/>
        </w:rPr>
        <w:t xml:space="preserve"> (ADM)</w:t>
      </w:r>
    </w:p>
    <w:p w14:paraId="6640370F" w14:textId="20BA291F" w:rsidR="00047BC6" w:rsidRPr="00CD6B2D" w:rsidRDefault="00047BC6" w:rsidP="00047BC6">
      <w:pPr>
        <w:jc w:val="both"/>
        <w:rPr>
          <w:rFonts w:ascii="Arial" w:hAnsi="Arial" w:cs="Arial"/>
          <w:color w:val="000000" w:themeColor="text1"/>
        </w:rPr>
      </w:pPr>
      <w:r w:rsidRPr="00CD6B2D">
        <w:rPr>
          <w:rFonts w:ascii="Arial" w:hAnsi="Arial" w:cs="Arial"/>
          <w:color w:val="000000" w:themeColor="text1"/>
        </w:rPr>
        <w:t xml:space="preserve">Arises from the calcaneal tuberosity and inserts on the base of the proximal phalanx of digit 5. </w:t>
      </w:r>
    </w:p>
    <w:p w14:paraId="248159B1" w14:textId="77777777" w:rsidR="00C83651" w:rsidRPr="00CD6B2D" w:rsidRDefault="00C83651" w:rsidP="00047BC6">
      <w:pPr>
        <w:spacing w:after="240" w:line="276" w:lineRule="auto"/>
        <w:jc w:val="both"/>
        <w:rPr>
          <w:rFonts w:ascii="Arial" w:hAnsi="Arial" w:cs="Arial"/>
          <w:b/>
          <w:bCs/>
          <w:color w:val="000000" w:themeColor="text1"/>
        </w:rPr>
      </w:pPr>
    </w:p>
    <w:p w14:paraId="765BF14A" w14:textId="36B563D2" w:rsidR="00EB57EC" w:rsidRPr="00CD6B2D" w:rsidRDefault="00C83651" w:rsidP="00047BC6">
      <w:pPr>
        <w:spacing w:after="240" w:line="276" w:lineRule="auto"/>
        <w:jc w:val="both"/>
        <w:rPr>
          <w:rFonts w:ascii="Arial" w:hAnsi="Arial" w:cs="Arial"/>
          <w:b/>
          <w:bCs/>
          <w:color w:val="000000" w:themeColor="text1"/>
        </w:rPr>
      </w:pPr>
      <w:r w:rsidRPr="00CD6B2D">
        <w:rPr>
          <w:rFonts w:ascii="Arial" w:hAnsi="Arial" w:cs="Arial"/>
          <w:b/>
          <w:bCs/>
          <w:color w:val="000000" w:themeColor="text1"/>
        </w:rPr>
        <w:t>2. Results:</w:t>
      </w:r>
      <w:r w:rsidR="00EB57EC" w:rsidRPr="00CD6B2D">
        <w:rPr>
          <w:rFonts w:ascii="Arial" w:hAnsi="Arial" w:cs="Arial"/>
          <w:b/>
          <w:bCs/>
          <w:color w:val="000000" w:themeColor="text1"/>
        </w:rPr>
        <w:t xml:space="preserve"> inter-specific variation in muscle architecture. </w:t>
      </w:r>
    </w:p>
    <w:p w14:paraId="7B8F8AE2" w14:textId="77777777" w:rsidR="00D4209E" w:rsidRPr="00CD6B2D" w:rsidRDefault="00EB57EC" w:rsidP="00047BC6">
      <w:pPr>
        <w:spacing w:after="240" w:line="276" w:lineRule="auto"/>
        <w:jc w:val="both"/>
        <w:rPr>
          <w:rFonts w:ascii="Arial" w:hAnsi="Arial" w:cs="Arial"/>
          <w:color w:val="000000" w:themeColor="text1"/>
        </w:rPr>
      </w:pPr>
      <w:r w:rsidRPr="00CD6B2D">
        <w:rPr>
          <w:rFonts w:ascii="Arial" w:hAnsi="Arial" w:cs="Arial"/>
          <w:color w:val="000000" w:themeColor="text1"/>
        </w:rPr>
        <w:t xml:space="preserve">To assess whether the architectural trends observed in the main dataset were upheld across a broader sample, we incorporated additional published data from </w:t>
      </w:r>
      <w:r w:rsidRPr="00CD6B2D">
        <w:rPr>
          <w:rFonts w:ascii="Arial" w:hAnsi="Arial" w:cs="Arial"/>
          <w:i/>
          <w:iCs/>
          <w:color w:val="000000" w:themeColor="text1"/>
        </w:rPr>
        <w:t>Gorilla gorilla</w:t>
      </w:r>
      <w:r w:rsidRPr="00CD6B2D">
        <w:rPr>
          <w:rFonts w:ascii="Arial" w:hAnsi="Arial" w:cs="Arial"/>
          <w:color w:val="000000" w:themeColor="text1"/>
        </w:rPr>
        <w:t xml:space="preserve">, </w:t>
      </w:r>
      <w:r w:rsidRPr="00CD6B2D">
        <w:rPr>
          <w:rFonts w:ascii="Arial" w:hAnsi="Arial" w:cs="Arial"/>
          <w:i/>
          <w:iCs/>
          <w:color w:val="000000" w:themeColor="text1"/>
        </w:rPr>
        <w:t>Hylobates lar</w:t>
      </w:r>
      <w:r w:rsidRPr="00CD6B2D">
        <w:rPr>
          <w:rFonts w:ascii="Arial" w:hAnsi="Arial" w:cs="Arial"/>
          <w:color w:val="000000" w:themeColor="text1"/>
        </w:rPr>
        <w:t xml:space="preserve">, </w:t>
      </w:r>
      <w:r w:rsidRPr="00CD6B2D">
        <w:rPr>
          <w:rFonts w:ascii="Arial" w:hAnsi="Arial" w:cs="Arial"/>
          <w:i/>
          <w:iCs/>
          <w:color w:val="000000" w:themeColor="text1"/>
        </w:rPr>
        <w:t>Pongo abelii</w:t>
      </w:r>
      <w:r w:rsidRPr="00CD6B2D">
        <w:rPr>
          <w:rFonts w:ascii="Arial" w:hAnsi="Arial" w:cs="Arial"/>
          <w:color w:val="000000" w:themeColor="text1"/>
        </w:rPr>
        <w:t xml:space="preserve">, </w:t>
      </w:r>
      <w:r w:rsidRPr="00CD6B2D">
        <w:rPr>
          <w:rFonts w:ascii="Arial" w:hAnsi="Arial" w:cs="Arial"/>
          <w:i/>
          <w:iCs/>
          <w:color w:val="000000" w:themeColor="text1"/>
        </w:rPr>
        <w:t>Homo sapiens</w:t>
      </w:r>
      <w:r w:rsidRPr="00CD6B2D">
        <w:rPr>
          <w:rFonts w:ascii="Arial" w:hAnsi="Arial" w:cs="Arial"/>
          <w:color w:val="000000" w:themeColor="text1"/>
        </w:rPr>
        <w:t xml:space="preserve"> and </w:t>
      </w:r>
      <w:r w:rsidRPr="00CD6B2D">
        <w:rPr>
          <w:rFonts w:ascii="Arial" w:hAnsi="Arial" w:cs="Arial"/>
          <w:i/>
          <w:iCs/>
          <w:color w:val="000000" w:themeColor="text1"/>
        </w:rPr>
        <w:t>Pan paniscus</w:t>
      </w:r>
      <w:r w:rsidRPr="00CD6B2D">
        <w:rPr>
          <w:rFonts w:ascii="Arial" w:hAnsi="Arial" w:cs="Arial"/>
          <w:color w:val="000000" w:themeColor="text1"/>
        </w:rPr>
        <w:t xml:space="preserve"> </w:t>
      </w:r>
      <w:r w:rsidRPr="00CD6B2D">
        <w:rPr>
          <w:rFonts w:ascii="Arial" w:hAnsi="Arial" w:cs="Arial"/>
          <w:color w:val="000000" w:themeColor="text1"/>
        </w:rPr>
        <w:fldChar w:fldCharType="begin">
          <w:fldData xml:space="preserve">PEVuZE5vdGU+PENpdGU+PEF1dGhvcj5DaGFybGVzPC9BdXRob3I+PFllYXI+MjAyMDwvWWVhcj48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=
</w:fldData>
        </w:fldChar>
      </w:r>
      <w:r w:rsidRPr="00CD6B2D">
        <w:rPr>
          <w:rFonts w:ascii="Arial" w:hAnsi="Arial" w:cs="Arial"/>
          <w:color w:val="000000" w:themeColor="text1"/>
        </w:rPr>
        <w:instrText xml:space="preserve"> ADDIN EN.JS.CITE </w:instrText>
      </w:r>
      <w:r w:rsidRPr="00CD6B2D">
        <w:rPr>
          <w:rFonts w:ascii="Arial" w:hAnsi="Arial" w:cs="Arial"/>
          <w:color w:val="000000" w:themeColor="text1"/>
        </w:rPr>
      </w:r>
      <w:r w:rsidRPr="00CD6B2D">
        <w:rPr>
          <w:rFonts w:ascii="Arial" w:hAnsi="Arial" w:cs="Arial"/>
          <w:color w:val="000000" w:themeColor="text1"/>
        </w:rPr>
        <w:fldChar w:fldCharType="separate"/>
      </w:r>
      <w:r w:rsidRPr="00CD6B2D">
        <w:rPr>
          <w:rFonts w:ascii="Arial" w:hAnsi="Arial" w:cs="Arial"/>
          <w:noProof/>
          <w:color w:val="000000" w:themeColor="text1"/>
        </w:rPr>
        <w:t>(Charles et al., 2020; Myatt et al., 2012; Oishi et al., 2009; Payne et al., 2006)</w:t>
      </w:r>
      <w:r w:rsidRPr="00CD6B2D">
        <w:rPr>
          <w:rFonts w:ascii="Arial" w:hAnsi="Arial" w:cs="Arial"/>
          <w:color w:val="000000" w:themeColor="text1"/>
        </w:rPr>
        <w:fldChar w:fldCharType="end"/>
      </w:r>
      <w:r w:rsidRPr="00CD6B2D">
        <w:rPr>
          <w:rFonts w:ascii="Arial" w:hAnsi="Arial" w:cs="Arial"/>
          <w:color w:val="000000" w:themeColor="text1"/>
        </w:rPr>
        <w:t xml:space="preserve">. Inclusion of additional dissection material allows us to explore inter-specific variation. Overall, the expanded dataset preserved the general organisation of muscle specialisation described in the main text. Hip adductors (AM, AB, AL, PECT) remained tightly clustered, with AM consistently power-specialised and AB/AL showing generalist architecture. The PECT retained its force-specialised profile in </w:t>
      </w:r>
      <w:r w:rsidRPr="00CD6B2D">
        <w:rPr>
          <w:rFonts w:ascii="Arial" w:hAnsi="Arial" w:cs="Arial"/>
          <w:i/>
          <w:iCs/>
          <w:color w:val="000000" w:themeColor="text1"/>
        </w:rPr>
        <w:t>Hylobates lar</w:t>
      </w:r>
      <w:r w:rsidRPr="00CD6B2D">
        <w:rPr>
          <w:rFonts w:ascii="Arial" w:hAnsi="Arial" w:cs="Arial"/>
          <w:color w:val="000000" w:themeColor="text1"/>
        </w:rPr>
        <w:t xml:space="preserve">. Similarly, SAR, SM, ST, and GMax maintained their displacement- or intermediate specialisations, with only minor shifts in Lf:PCSA ratios across added specimens. Deep rotators continued to show displacement bias in most taxa, with force-specialisation restricted to </w:t>
      </w:r>
      <w:r w:rsidRPr="00CD6B2D">
        <w:rPr>
          <w:rFonts w:ascii="Arial" w:hAnsi="Arial" w:cs="Arial"/>
          <w:i/>
          <w:iCs/>
          <w:color w:val="000000" w:themeColor="text1"/>
        </w:rPr>
        <w:t>Symphalangus syndactylus</w:t>
      </w:r>
      <w:r w:rsidRPr="00CD6B2D">
        <w:rPr>
          <w:rFonts w:ascii="Arial" w:hAnsi="Arial" w:cs="Arial"/>
          <w:color w:val="000000" w:themeColor="text1"/>
        </w:rPr>
        <w:t>.</w:t>
      </w:r>
      <w:r w:rsidR="00D4209E" w:rsidRPr="00CD6B2D">
        <w:rPr>
          <w:rFonts w:ascii="Arial" w:hAnsi="Arial" w:cs="Arial"/>
          <w:color w:val="000000" w:themeColor="text1"/>
        </w:rPr>
        <w:t xml:space="preserve"> </w:t>
      </w:r>
    </w:p>
    <w:p w14:paraId="2BF397D2" w14:textId="60EF5D43" w:rsidR="00EB57EC" w:rsidRPr="00CD6B2D" w:rsidRDefault="00D4209E" w:rsidP="00047BC6">
      <w:pPr>
        <w:spacing w:after="240" w:line="276" w:lineRule="auto"/>
        <w:jc w:val="both"/>
        <w:rPr>
          <w:rFonts w:ascii="Arial" w:hAnsi="Arial" w:cs="Arial"/>
          <w:color w:val="000000" w:themeColor="text1"/>
        </w:rPr>
      </w:pPr>
      <w:r w:rsidRPr="00CD6B2D">
        <w:rPr>
          <w:rFonts w:ascii="Arial" w:hAnsi="Arial" w:cs="Arial"/>
          <w:color w:val="000000" w:themeColor="text1"/>
        </w:rPr>
        <w:t xml:space="preserve">The distal muscles tended to be more inter-specific variable. SOL, MG and LG muscles (the </w:t>
      </w:r>
      <w:r w:rsidRPr="00CD6B2D">
        <w:rPr>
          <w:rFonts w:ascii="Arial" w:hAnsi="Arial" w:cs="Arial"/>
          <w:i/>
          <w:iCs/>
          <w:color w:val="000000" w:themeColor="text1"/>
        </w:rPr>
        <w:t>M. triceps surae</w:t>
      </w:r>
      <w:r w:rsidRPr="00CD6B2D">
        <w:rPr>
          <w:rFonts w:ascii="Arial" w:hAnsi="Arial" w:cs="Arial"/>
          <w:color w:val="000000" w:themeColor="text1"/>
        </w:rPr>
        <w:t xml:space="preserve">) was quite variable within species, although there was a tendency for the </w:t>
      </w:r>
      <w:r w:rsidRPr="00CD6B2D">
        <w:rPr>
          <w:rFonts w:ascii="Arial" w:hAnsi="Arial" w:cs="Arial"/>
          <w:i/>
          <w:iCs/>
          <w:color w:val="000000" w:themeColor="text1"/>
        </w:rPr>
        <w:t xml:space="preserve">Macaca mulatta </w:t>
      </w:r>
      <w:r w:rsidRPr="00CD6B2D">
        <w:rPr>
          <w:rFonts w:ascii="Arial" w:hAnsi="Arial" w:cs="Arial"/>
          <w:color w:val="000000" w:themeColor="text1"/>
        </w:rPr>
        <w:t xml:space="preserve">to have a generalised specialisation of this muscle group, whilst </w:t>
      </w:r>
      <w:r w:rsidRPr="00CD6B2D">
        <w:rPr>
          <w:rFonts w:ascii="Arial" w:hAnsi="Arial" w:cs="Arial"/>
          <w:i/>
          <w:iCs/>
          <w:color w:val="000000" w:themeColor="text1"/>
        </w:rPr>
        <w:t xml:space="preserve">Homo sapiens </w:t>
      </w:r>
      <w:r w:rsidRPr="00CD6B2D">
        <w:rPr>
          <w:rFonts w:ascii="Arial" w:hAnsi="Arial" w:cs="Arial"/>
          <w:color w:val="000000" w:themeColor="text1"/>
        </w:rPr>
        <w:t>exhibited a mix of force- and velocity- specialisation. We hypothesise that these architectural measurements to do not take into consideration the sedentary versus active lifestyle of modern populations.</w:t>
      </w:r>
    </w:p>
    <w:p w14:paraId="73C8C81B" w14:textId="649A9A41" w:rsidR="00D4209E" w:rsidRPr="00CD6B2D" w:rsidRDefault="00D4209E" w:rsidP="00047BC6">
      <w:pPr>
        <w:spacing w:after="240" w:line="276" w:lineRule="auto"/>
        <w:jc w:val="both"/>
        <w:rPr>
          <w:rFonts w:ascii="Arial" w:hAnsi="Arial" w:cs="Arial"/>
          <w:color w:val="000000" w:themeColor="text1"/>
        </w:rPr>
      </w:pPr>
      <w:r w:rsidRPr="00CD6B2D">
        <w:rPr>
          <w:rFonts w:ascii="Arial" w:hAnsi="Arial" w:cs="Arial"/>
          <w:color w:val="000000" w:themeColor="text1"/>
        </w:rPr>
        <w:t xml:space="preserve">Other muscles retained broad profiles. For example, the TA and EDL retained displacement-biased profiles. The FHL and FDL muscles showed consistent generalist or displacement-specialised architecture, with minimal interspecies divergence. Among knee extensors, RF and VL preserved their divergent scaling patterns: RF remained intermediate or force-specialised in most taxa, while VL was velocity-specialised in </w:t>
      </w:r>
      <w:r w:rsidRPr="00CD6B2D">
        <w:rPr>
          <w:rFonts w:ascii="Arial" w:hAnsi="Arial" w:cs="Arial"/>
          <w:i/>
          <w:iCs/>
          <w:color w:val="000000" w:themeColor="text1"/>
        </w:rPr>
        <w:t>Pongo abelii</w:t>
      </w:r>
      <w:r w:rsidRPr="00CD6B2D">
        <w:rPr>
          <w:rFonts w:ascii="Arial" w:hAnsi="Arial" w:cs="Arial"/>
          <w:color w:val="000000" w:themeColor="text1"/>
        </w:rPr>
        <w:t xml:space="preserve"> but force-specialised elsewhere. Knee flexors (e.g., BFL, BFS, GRA) showed greater architectural </w:t>
      </w:r>
      <w:r w:rsidRPr="00CD6B2D">
        <w:rPr>
          <w:rFonts w:ascii="Arial" w:hAnsi="Arial" w:cs="Arial"/>
          <w:color w:val="000000" w:themeColor="text1"/>
        </w:rPr>
        <w:lastRenderedPageBreak/>
        <w:t xml:space="preserve">dispersion, particularly in </w:t>
      </w:r>
      <w:r w:rsidRPr="00CD6B2D">
        <w:rPr>
          <w:rFonts w:ascii="Arial" w:hAnsi="Arial" w:cs="Arial"/>
          <w:i/>
          <w:iCs/>
          <w:color w:val="000000" w:themeColor="text1"/>
        </w:rPr>
        <w:t>Hylobates lar</w:t>
      </w:r>
      <w:r w:rsidRPr="00CD6B2D">
        <w:rPr>
          <w:rFonts w:ascii="Arial" w:hAnsi="Arial" w:cs="Arial"/>
          <w:color w:val="000000" w:themeColor="text1"/>
        </w:rPr>
        <w:t>, where elevated Lf:PCSA ratios suggest enhanced velocity capacity.</w:t>
      </w:r>
    </w:p>
    <w:p w14:paraId="78B19C55" w14:textId="1A1C99B7" w:rsidR="00D4209E" w:rsidRPr="00CD6B2D" w:rsidRDefault="00D4209E" w:rsidP="00047BC6">
      <w:pPr>
        <w:spacing w:after="240" w:line="276" w:lineRule="auto"/>
        <w:jc w:val="both"/>
        <w:rPr>
          <w:rFonts w:ascii="Arial" w:hAnsi="Arial" w:cs="Arial"/>
          <w:color w:val="000000" w:themeColor="text1"/>
        </w:rPr>
      </w:pPr>
      <w:r w:rsidRPr="00CD6B2D">
        <w:rPr>
          <w:rFonts w:ascii="Arial" w:hAnsi="Arial" w:cs="Arial"/>
          <w:color w:val="000000" w:themeColor="text1"/>
        </w:rPr>
        <w:t xml:space="preserve">Overall, the inclusion of additional specimens increased trait-space overlap and introduced greater architectural spread, particularly in muscles with previously narrow ranges. These shifts likely reflect both biological variation and methodological heterogeneity across studies. </w:t>
      </w:r>
    </w:p>
    <w:p w14:paraId="5B66DC9B" w14:textId="6E2E77FE" w:rsidR="000621AB" w:rsidRPr="00CD6B2D" w:rsidRDefault="000621AB" w:rsidP="00047BC6">
      <w:pPr>
        <w:spacing w:after="240" w:line="276" w:lineRule="auto"/>
        <w:jc w:val="both"/>
        <w:rPr>
          <w:rFonts w:ascii="Arial" w:hAnsi="Arial" w:cs="Arial"/>
          <w:color w:val="000000" w:themeColor="text1"/>
        </w:rPr>
      </w:pPr>
      <w:r w:rsidRPr="00CD6B2D">
        <w:rPr>
          <w:rFonts w:ascii="Arial" w:hAnsi="Arial" w:cs="Arial"/>
          <w:color w:val="000000" w:themeColor="text1"/>
        </w:rPr>
        <w:t xml:space="preserve">To assess whether species differed in the degree of architectural variation among sampled muscles, we performed a multivariate dispersion analysis using the </w:t>
      </w:r>
      <w:r w:rsidRPr="00CD6B2D">
        <w:rPr>
          <w:rFonts w:ascii="Arial" w:hAnsi="Arial" w:cs="Arial"/>
          <w:i/>
          <w:iCs/>
          <w:color w:val="000000" w:themeColor="text1"/>
        </w:rPr>
        <w:t>betadisper</w:t>
      </w:r>
      <w:r w:rsidRPr="00CD6B2D">
        <w:rPr>
          <w:rFonts w:ascii="Arial" w:hAnsi="Arial" w:cs="Arial"/>
          <w:color w:val="000000" w:themeColor="text1"/>
        </w:rPr>
        <w:t xml:space="preserve">() function in R. This approach calculates the distance of each observation to its species centroid in trait space, based on Euclidean distances derived from Lf and PCSA values. We tested for differences in dispersion using ANOVA and permutation-based pairwise comparisons (999 permutations). </w:t>
      </w:r>
    </w:p>
    <w:p w14:paraId="6AB711B1" w14:textId="4BA8A8A2" w:rsidR="000621AB" w:rsidRPr="00CD6B2D" w:rsidRDefault="000621AB" w:rsidP="00047BC6">
      <w:pPr>
        <w:spacing w:after="240" w:line="276" w:lineRule="auto"/>
        <w:jc w:val="both"/>
        <w:rPr>
          <w:rFonts w:ascii="Arial" w:hAnsi="Arial" w:cs="Arial"/>
          <w:color w:val="000000" w:themeColor="text1"/>
        </w:rPr>
      </w:pPr>
      <w:r w:rsidRPr="00CD6B2D">
        <w:rPr>
          <w:rFonts w:ascii="Arial" w:hAnsi="Arial" w:cs="Arial"/>
          <w:color w:val="000000" w:themeColor="text1"/>
        </w:rPr>
        <w:t>The ANOVA revealed no significant differences in dispersion across species (F</w:t>
      </w:r>
      <w:r w:rsidRPr="00CD6B2D">
        <w:rPr>
          <w:rFonts w:ascii="Cambria Math" w:hAnsi="Cambria Math" w:cs="Cambria Math"/>
          <w:color w:val="000000" w:themeColor="text1"/>
        </w:rPr>
        <w:t>₁₁</w:t>
      </w:r>
      <w:r w:rsidRPr="00CD6B2D">
        <w:rPr>
          <w:rFonts w:ascii="Arial" w:hAnsi="Arial" w:cs="Arial"/>
          <w:color w:val="000000" w:themeColor="text1"/>
        </w:rPr>
        <w:t>,</w:t>
      </w:r>
      <w:r w:rsidRPr="00CD6B2D">
        <w:rPr>
          <w:rFonts w:ascii="Cambria Math" w:hAnsi="Cambria Math" w:cs="Cambria Math"/>
          <w:color w:val="000000" w:themeColor="text1"/>
        </w:rPr>
        <w:t>₇₄₈</w:t>
      </w:r>
      <w:r w:rsidRPr="00CD6B2D">
        <w:rPr>
          <w:rFonts w:ascii="Arial" w:hAnsi="Arial" w:cs="Arial"/>
          <w:color w:val="000000" w:themeColor="text1"/>
        </w:rPr>
        <w:t xml:space="preserve"> = 1.68, p = 0.074), indicating that the overall spread of muscle architecture within species was broadly comparable. Permutation tests supported this finding (p = 0.112), with most pairwise comparisons yielding non-significant results. However, </w:t>
      </w:r>
      <w:r w:rsidRPr="00CD6B2D">
        <w:rPr>
          <w:rFonts w:ascii="Arial" w:hAnsi="Arial" w:cs="Arial"/>
          <w:i/>
          <w:iCs/>
          <w:color w:val="000000" w:themeColor="text1"/>
        </w:rPr>
        <w:t>Homo sapiens</w:t>
      </w:r>
      <w:r w:rsidRPr="00CD6B2D">
        <w:rPr>
          <w:rFonts w:ascii="Arial" w:hAnsi="Arial" w:cs="Arial"/>
          <w:color w:val="000000" w:themeColor="text1"/>
        </w:rPr>
        <w:t xml:space="preserve"> exhibited significantly greater dispersion than </w:t>
      </w:r>
      <w:r w:rsidRPr="00CD6B2D">
        <w:rPr>
          <w:rFonts w:ascii="Arial" w:hAnsi="Arial" w:cs="Arial"/>
          <w:i/>
          <w:iCs/>
          <w:color w:val="000000" w:themeColor="text1"/>
        </w:rPr>
        <w:t>Gorilla gorilla</w:t>
      </w:r>
      <w:r w:rsidRPr="00CD6B2D">
        <w:rPr>
          <w:rFonts w:ascii="Arial" w:hAnsi="Arial" w:cs="Arial"/>
          <w:color w:val="000000" w:themeColor="text1"/>
        </w:rPr>
        <w:t xml:space="preserve"> (p = 0.009). No other species pairs showed consistent differences in trait-space spread.</w:t>
      </w:r>
    </w:p>
    <w:p w14:paraId="0C2EAFE9" w14:textId="590D2948" w:rsidR="000621AB" w:rsidRPr="00CD6B2D" w:rsidRDefault="000621AB" w:rsidP="00047BC6">
      <w:pPr>
        <w:spacing w:after="240" w:line="276" w:lineRule="auto"/>
        <w:jc w:val="both"/>
        <w:rPr>
          <w:rFonts w:ascii="Arial" w:hAnsi="Arial" w:cs="Arial"/>
          <w:color w:val="000000" w:themeColor="text1"/>
        </w:rPr>
      </w:pPr>
      <w:r w:rsidRPr="00CD6B2D">
        <w:rPr>
          <w:rFonts w:ascii="Arial" w:hAnsi="Arial" w:cs="Arial"/>
          <w:color w:val="000000" w:themeColor="text1"/>
        </w:rPr>
        <w:t>These results suggest that the architectural trends described in the main text are not driven by unequal within-species variation. We conclude that the core functional patterns remain robust across taxa.</w:t>
      </w:r>
    </w:p>
    <w:p w14:paraId="6587052A" w14:textId="77777777" w:rsidR="00716B08" w:rsidRDefault="00716B08" w:rsidP="00047BC6">
      <w:pPr>
        <w:jc w:val="both"/>
        <w:rPr>
          <w:rFonts w:ascii="Arial" w:hAnsi="Arial" w:cs="Arial"/>
          <w:i/>
          <w:iCs/>
        </w:rPr>
      </w:pPr>
    </w:p>
    <w:p w14:paraId="6D40B950" w14:textId="4ECB3A43" w:rsidR="00D4209E" w:rsidRPr="00716B08" w:rsidRDefault="00BB09D8" w:rsidP="00047BC6">
      <w:pPr>
        <w:jc w:val="both"/>
        <w:rPr>
          <w:rFonts w:ascii="Arial" w:hAnsi="Arial" w:cs="Arial"/>
        </w:rPr>
      </w:pPr>
      <w:r w:rsidRPr="00716B08">
        <w:rPr>
          <w:rFonts w:ascii="Arial" w:hAnsi="Arial" w:cs="Arial"/>
        </w:rPr>
        <w:t xml:space="preserve">Additional References: </w:t>
      </w:r>
    </w:p>
    <w:sdt>
      <w:sdtPr>
        <w:rPr>
          <w:rFonts w:ascii="Arial" w:hAnsi="Arial" w:cs="Arial"/>
        </w:rPr>
        <w:tag w:val="EndNote.ReferenceList"/>
        <w:id w:val="405500162"/>
        <w:placeholder>
          <w:docPart w:val="DefaultPlaceholder_-1854013440"/>
        </w:placeholder>
      </w:sdtPr>
      <w:sdtEndPr/>
      <w:sdtContent>
        <w:p w14:paraId="3DCB46B1" w14:textId="4EC26A39" w:rsidR="00EB57EC" w:rsidRPr="00231D0A" w:rsidRDefault="00EB57EC" w:rsidP="00231D0A">
          <w:pPr>
            <w:pStyle w:val="EndNoteBibliography"/>
            <w:spacing w:before="240" w:after="0"/>
            <w:ind w:left="720" w:hanging="720"/>
            <w:jc w:val="both"/>
            <w:rPr>
              <w:rFonts w:ascii="Arial" w:hAnsi="Arial" w:cs="Arial"/>
            </w:rPr>
          </w:pPr>
          <w:r w:rsidRPr="00231D0A">
            <w:rPr>
              <w:rFonts w:ascii="Arial" w:hAnsi="Arial" w:cs="Arial"/>
            </w:rPr>
            <w:t xml:space="preserve">Charles, J. P., Grant, B., D'Aout, K., &amp; Bates, K. T. (2020). Subject-specific muscle properties from diffusion tensor imaging significantly improve the accuracy of musculoskeletal models. </w:t>
          </w:r>
          <w:r w:rsidRPr="00231D0A">
            <w:rPr>
              <w:rFonts w:ascii="Arial" w:hAnsi="Arial" w:cs="Arial"/>
              <w:i/>
            </w:rPr>
            <w:t>J Anat</w:t>
          </w:r>
          <w:r w:rsidRPr="00231D0A">
            <w:rPr>
              <w:rFonts w:ascii="Arial" w:hAnsi="Arial" w:cs="Arial"/>
            </w:rPr>
            <w:t>,</w:t>
          </w:r>
          <w:r w:rsidRPr="00231D0A">
            <w:rPr>
              <w:rFonts w:ascii="Arial" w:hAnsi="Arial" w:cs="Arial"/>
              <w:i/>
            </w:rPr>
            <w:t xml:space="preserve"> 237</w:t>
          </w:r>
          <w:r w:rsidRPr="00231D0A">
            <w:rPr>
              <w:rFonts w:ascii="Arial" w:hAnsi="Arial" w:cs="Arial"/>
            </w:rPr>
            <w:t xml:space="preserve">(5), 941-959. </w:t>
          </w:r>
          <w:hyperlink r:id="rId6" w:history="1">
            <w:r w:rsidRPr="00231D0A">
              <w:rPr>
                <w:rStyle w:val="Hyperlink"/>
                <w:rFonts w:ascii="Arial" w:hAnsi="Arial" w:cs="Arial"/>
              </w:rPr>
              <w:t>https://doi.org/10.1111/joa.13261</w:t>
            </w:r>
          </w:hyperlink>
          <w:r w:rsidRPr="00231D0A">
            <w:rPr>
              <w:rFonts w:ascii="Arial" w:hAnsi="Arial" w:cs="Arial"/>
            </w:rPr>
            <w:t xml:space="preserve"> </w:t>
          </w:r>
        </w:p>
        <w:p w14:paraId="4EDA86BF" w14:textId="2608A9E1" w:rsidR="00EB57EC" w:rsidRPr="00231D0A" w:rsidRDefault="00EB57EC" w:rsidP="00231D0A">
          <w:pPr>
            <w:pStyle w:val="EndNoteBibliography"/>
            <w:spacing w:before="240" w:after="0"/>
            <w:ind w:left="720" w:hanging="720"/>
            <w:jc w:val="both"/>
            <w:rPr>
              <w:rFonts w:ascii="Arial" w:hAnsi="Arial" w:cs="Arial"/>
            </w:rPr>
          </w:pPr>
          <w:r w:rsidRPr="00231D0A">
            <w:rPr>
              <w:rFonts w:ascii="Arial" w:hAnsi="Arial" w:cs="Arial"/>
            </w:rPr>
            <w:t xml:space="preserve">Myatt, J. P., Crompton, R. H., Payne-Davis, R. C., Vereecke, E. E., Isler, K., Savage, R., D’Août, K., Günther, M. M., &amp; Thorpe, S. K. S. (2012). Functional adaptations in the forelimb muscles of non-human great apes. </w:t>
          </w:r>
          <w:r w:rsidRPr="00231D0A">
            <w:rPr>
              <w:rFonts w:ascii="Arial" w:hAnsi="Arial" w:cs="Arial"/>
              <w:i/>
            </w:rPr>
            <w:t>Journal of Anatomy</w:t>
          </w:r>
          <w:r w:rsidRPr="00231D0A">
            <w:rPr>
              <w:rFonts w:ascii="Arial" w:hAnsi="Arial" w:cs="Arial"/>
            </w:rPr>
            <w:t>,</w:t>
          </w:r>
          <w:r w:rsidRPr="00231D0A">
            <w:rPr>
              <w:rFonts w:ascii="Arial" w:hAnsi="Arial" w:cs="Arial"/>
              <w:i/>
            </w:rPr>
            <w:t xml:space="preserve"> 220</w:t>
          </w:r>
          <w:r w:rsidRPr="00231D0A">
            <w:rPr>
              <w:rFonts w:ascii="Arial" w:hAnsi="Arial" w:cs="Arial"/>
            </w:rPr>
            <w:t xml:space="preserve">(1), 13-28. </w:t>
          </w:r>
          <w:hyperlink r:id="rId7" w:history="1">
            <w:r w:rsidRPr="00231D0A">
              <w:rPr>
                <w:rStyle w:val="Hyperlink"/>
                <w:rFonts w:ascii="Arial" w:hAnsi="Arial" w:cs="Arial"/>
              </w:rPr>
              <w:t>https://doi.org/https://doi.org/10.1111/j.1469-7580.2011.01443.x</w:t>
            </w:r>
          </w:hyperlink>
          <w:r w:rsidRPr="00231D0A">
            <w:rPr>
              <w:rFonts w:ascii="Arial" w:hAnsi="Arial" w:cs="Arial"/>
            </w:rPr>
            <w:t xml:space="preserve"> </w:t>
          </w:r>
        </w:p>
        <w:p w14:paraId="5824A0F5" w14:textId="466D23AE" w:rsidR="00EB57EC" w:rsidRPr="00231D0A" w:rsidRDefault="00EB57EC" w:rsidP="00231D0A">
          <w:pPr>
            <w:pStyle w:val="EndNoteBibliography"/>
            <w:spacing w:before="240" w:after="0"/>
            <w:ind w:left="720" w:hanging="720"/>
            <w:jc w:val="both"/>
            <w:rPr>
              <w:rFonts w:ascii="Arial" w:hAnsi="Arial" w:cs="Arial"/>
            </w:rPr>
          </w:pPr>
          <w:r w:rsidRPr="00231D0A">
            <w:rPr>
              <w:rFonts w:ascii="Arial" w:hAnsi="Arial" w:cs="Arial"/>
            </w:rPr>
            <w:t xml:space="preserve">Oishi, M., Ogihara, N., Endo, H., Komiya, T., Kawada, S.-i., Tomiyama, T., Sugiura, Y., Ichihara, N., &amp; Asari, M. (2009). Dimensions of the Foot Muscles in the Lowland Gorilla. </w:t>
          </w:r>
          <w:r w:rsidRPr="00231D0A">
            <w:rPr>
              <w:rFonts w:ascii="Arial" w:hAnsi="Arial" w:cs="Arial"/>
              <w:i/>
            </w:rPr>
            <w:t>Journal of Veterinary Medical Science</w:t>
          </w:r>
          <w:r w:rsidRPr="00231D0A">
            <w:rPr>
              <w:rFonts w:ascii="Arial" w:hAnsi="Arial" w:cs="Arial"/>
            </w:rPr>
            <w:t>,</w:t>
          </w:r>
          <w:r w:rsidRPr="00231D0A">
            <w:rPr>
              <w:rFonts w:ascii="Arial" w:hAnsi="Arial" w:cs="Arial"/>
              <w:i/>
            </w:rPr>
            <w:t xml:space="preserve"> 71</w:t>
          </w:r>
          <w:r w:rsidRPr="00231D0A">
            <w:rPr>
              <w:rFonts w:ascii="Arial" w:hAnsi="Arial" w:cs="Arial"/>
            </w:rPr>
            <w:t xml:space="preserve">(6), 821-824. </w:t>
          </w:r>
          <w:hyperlink r:id="rId8" w:history="1">
            <w:r w:rsidRPr="00231D0A">
              <w:rPr>
                <w:rStyle w:val="Hyperlink"/>
                <w:rFonts w:ascii="Arial" w:hAnsi="Arial" w:cs="Arial"/>
              </w:rPr>
              <w:t>https://doi.org/10.1292/jvms.71.821</w:t>
            </w:r>
          </w:hyperlink>
          <w:r w:rsidRPr="00231D0A">
            <w:rPr>
              <w:rFonts w:ascii="Arial" w:hAnsi="Arial" w:cs="Arial"/>
            </w:rPr>
            <w:t xml:space="preserve"> </w:t>
          </w:r>
        </w:p>
        <w:p w14:paraId="0462342B" w14:textId="77777777" w:rsidR="00231D0A" w:rsidRPr="00231D0A" w:rsidRDefault="00EB57EC" w:rsidP="00231D0A">
          <w:pPr>
            <w:pStyle w:val="EndNoteBibliography"/>
            <w:spacing w:before="240"/>
            <w:ind w:left="720" w:hanging="720"/>
            <w:jc w:val="both"/>
            <w:rPr>
              <w:rStyle w:val="Hyperlink"/>
              <w:rFonts w:ascii="Arial" w:hAnsi="Arial" w:cs="Arial"/>
            </w:rPr>
          </w:pPr>
          <w:r w:rsidRPr="00231D0A">
            <w:rPr>
              <w:rFonts w:ascii="Arial" w:hAnsi="Arial" w:cs="Arial"/>
            </w:rPr>
            <w:t xml:space="preserve">Payne, R. C., Crompton, R. H., Isler, K., Savage, R., Vereecke, E. E., Günther, M. M., Thorpe, S. K. S., &amp; D’Août, K. (2006). Morphological analysis of the hindlimb in apes and humans. I. Muscle architecture. </w:t>
          </w:r>
          <w:r w:rsidRPr="00231D0A">
            <w:rPr>
              <w:rFonts w:ascii="Arial" w:hAnsi="Arial" w:cs="Arial"/>
              <w:i/>
            </w:rPr>
            <w:t>Journal of Anatomy</w:t>
          </w:r>
          <w:r w:rsidRPr="00231D0A">
            <w:rPr>
              <w:rFonts w:ascii="Arial" w:hAnsi="Arial" w:cs="Arial"/>
            </w:rPr>
            <w:t>,</w:t>
          </w:r>
          <w:r w:rsidRPr="00231D0A">
            <w:rPr>
              <w:rFonts w:ascii="Arial" w:hAnsi="Arial" w:cs="Arial"/>
              <w:i/>
            </w:rPr>
            <w:t xml:space="preserve"> 208</w:t>
          </w:r>
          <w:r w:rsidRPr="00231D0A">
            <w:rPr>
              <w:rFonts w:ascii="Arial" w:hAnsi="Arial" w:cs="Arial"/>
            </w:rPr>
            <w:t xml:space="preserve">(6), 709-724. </w:t>
          </w:r>
          <w:hyperlink r:id="rId9" w:history="1">
            <w:r w:rsidRPr="00231D0A">
              <w:rPr>
                <w:rStyle w:val="Hyperlink"/>
                <w:rFonts w:ascii="Arial" w:hAnsi="Arial" w:cs="Arial"/>
              </w:rPr>
              <w:t>https://doi.org/10.1111/j.1469-7580.2005.00433.x-i1</w:t>
            </w:r>
          </w:hyperlink>
        </w:p>
        <w:p w14:paraId="58735D89" w14:textId="02981E0A" w:rsidR="00EB57EC" w:rsidRDefault="00231D0A" w:rsidP="002E110A">
          <w:pPr>
            <w:pStyle w:val="EndNoteBibliography"/>
            <w:spacing w:before="240"/>
            <w:ind w:left="720" w:hanging="720"/>
            <w:rPr>
              <w:rFonts w:ascii="Arial" w:hAnsi="Arial" w:cs="Arial"/>
            </w:rPr>
          </w:pPr>
          <w:r w:rsidRPr="00231D0A">
            <w:rPr>
              <w:rFonts w:ascii="Arial" w:hAnsi="Arial" w:cs="Arial"/>
              <w:lang w:val="nl-BE"/>
            </w:rPr>
            <w:t xml:space="preserve">Wiseman, A. L., van Beesel, J. B., &amp; Vereecke, E. (2026). </w:t>
          </w:r>
          <w:r w:rsidRPr="00231D0A">
            <w:rPr>
              <w:rFonts w:ascii="Arial" w:hAnsi="Arial" w:cs="Arial"/>
              <w:lang w:val="en-GB"/>
            </w:rPr>
            <w:t xml:space="preserve">Comparative analysis of primate hind limb muscle moment arms using subject-specific three-dimensional musculoskeletal models. </w:t>
          </w:r>
          <w:r w:rsidRPr="00231D0A">
            <w:rPr>
              <w:rFonts w:ascii="Arial" w:hAnsi="Arial" w:cs="Arial"/>
              <w:i/>
              <w:iCs/>
              <w:lang w:val="en-GB"/>
            </w:rPr>
            <w:t>Royal Society Open Science</w:t>
          </w:r>
          <w:r w:rsidRPr="00231D0A">
            <w:rPr>
              <w:rFonts w:ascii="Arial" w:hAnsi="Arial" w:cs="Arial"/>
              <w:lang w:val="en-GB"/>
            </w:rPr>
            <w:t>.</w:t>
          </w:r>
          <w:hyperlink r:id="rId10" w:history="1">
            <w:r w:rsidRPr="00231D0A">
              <w:rPr>
                <w:rStyle w:val="Hyperlink"/>
                <w:rFonts w:ascii="Arial" w:hAnsi="Arial" w:cs="Arial"/>
                <w:lang w:val="en-GB"/>
              </w:rPr>
              <w:t xml:space="preserve"> https://doi.org/10.1098/rsos.260107</w:t>
            </w:r>
          </w:hyperlink>
        </w:p>
      </w:sdtContent>
    </w:sdt>
    <w:p w14:paraId="7AF05DF9" w14:textId="77777777" w:rsidR="00231D0A" w:rsidRPr="00CD6B2D" w:rsidRDefault="00231D0A" w:rsidP="00F75024">
      <w:pPr>
        <w:pStyle w:val="EndNoteBibliography"/>
        <w:ind w:left="720" w:hanging="720"/>
        <w:jc w:val="both"/>
        <w:rPr>
          <w:rFonts w:ascii="Arial" w:hAnsi="Arial" w:cs="Arial"/>
        </w:rPr>
      </w:pPr>
    </w:p>
    <w:sectPr w:rsidR="00231D0A" w:rsidRPr="00CD6B2D">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6797B" w14:textId="77777777" w:rsidR="002C1F8F" w:rsidRDefault="002C1F8F" w:rsidP="00CD6B2D">
      <w:pPr>
        <w:spacing w:after="0" w:line="240" w:lineRule="auto"/>
      </w:pPr>
      <w:r>
        <w:separator/>
      </w:r>
    </w:p>
  </w:endnote>
  <w:endnote w:type="continuationSeparator" w:id="0">
    <w:p w14:paraId="40296375" w14:textId="77777777" w:rsidR="002C1F8F" w:rsidRDefault="002C1F8F" w:rsidP="00CD6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7008340"/>
      <w:docPartObj>
        <w:docPartGallery w:val="Page Numbers (Bottom of Page)"/>
        <w:docPartUnique/>
      </w:docPartObj>
    </w:sdtPr>
    <w:sdtEndPr/>
    <w:sdtContent>
      <w:p w14:paraId="16187D27" w14:textId="60F912C5" w:rsidR="00CD6B2D" w:rsidRDefault="00CD6B2D">
        <w:pPr>
          <w:pStyle w:val="Footer"/>
          <w:jc w:val="right"/>
        </w:pPr>
        <w:r>
          <w:fldChar w:fldCharType="begin"/>
        </w:r>
        <w:r>
          <w:instrText>PAGE   \* MERGEFORMAT</w:instrText>
        </w:r>
        <w:r>
          <w:fldChar w:fldCharType="separate"/>
        </w:r>
        <w:r>
          <w:t>2</w:t>
        </w:r>
        <w:r>
          <w:fldChar w:fldCharType="end"/>
        </w:r>
      </w:p>
    </w:sdtContent>
  </w:sdt>
  <w:p w14:paraId="537792C4" w14:textId="77777777" w:rsidR="00CD6B2D" w:rsidRDefault="00CD6B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55F08" w14:textId="77777777" w:rsidR="002C1F8F" w:rsidRDefault="002C1F8F" w:rsidP="00CD6B2D">
      <w:pPr>
        <w:spacing w:after="0" w:line="240" w:lineRule="auto"/>
      </w:pPr>
      <w:r>
        <w:separator/>
      </w:r>
    </w:p>
  </w:footnote>
  <w:footnote w:type="continuationSeparator" w:id="0">
    <w:p w14:paraId="37B440E2" w14:textId="77777777" w:rsidR="002C1F8F" w:rsidRDefault="002C1F8F" w:rsidP="00CD6B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pp0epphxwzx1e9pztp9ver5vwx9zwa0xvw&quot;&gt;EndNoteLibrary&lt;record-ids&gt;&lt;item&gt;123&lt;/item&gt;&lt;item&gt;203&lt;/item&gt;&lt;item&gt;389&lt;/item&gt;&lt;item&gt;408&lt;/item&gt;&lt;/record-ids&gt;&lt;/item&gt;&lt;/Libraries&gt;"/>
  </w:docVars>
  <w:rsids>
    <w:rsidRoot w:val="00EB57EC"/>
    <w:rsid w:val="0000046C"/>
    <w:rsid w:val="00022192"/>
    <w:rsid w:val="00047BC6"/>
    <w:rsid w:val="000621AB"/>
    <w:rsid w:val="000B3BDD"/>
    <w:rsid w:val="00231D0A"/>
    <w:rsid w:val="002C1F8F"/>
    <w:rsid w:val="002D7C7C"/>
    <w:rsid w:val="002E110A"/>
    <w:rsid w:val="00337367"/>
    <w:rsid w:val="003F7421"/>
    <w:rsid w:val="004428BA"/>
    <w:rsid w:val="004B2E75"/>
    <w:rsid w:val="00546DFC"/>
    <w:rsid w:val="00575307"/>
    <w:rsid w:val="005B333F"/>
    <w:rsid w:val="00716B08"/>
    <w:rsid w:val="00721588"/>
    <w:rsid w:val="00745DF0"/>
    <w:rsid w:val="007C1D51"/>
    <w:rsid w:val="007E0E61"/>
    <w:rsid w:val="007E422E"/>
    <w:rsid w:val="00834CA7"/>
    <w:rsid w:val="008A5BC9"/>
    <w:rsid w:val="009B2275"/>
    <w:rsid w:val="00B85874"/>
    <w:rsid w:val="00BA2C74"/>
    <w:rsid w:val="00BB09D8"/>
    <w:rsid w:val="00BB7430"/>
    <w:rsid w:val="00C11FFF"/>
    <w:rsid w:val="00C83651"/>
    <w:rsid w:val="00CD6B2D"/>
    <w:rsid w:val="00D112D0"/>
    <w:rsid w:val="00D24C74"/>
    <w:rsid w:val="00D4209E"/>
    <w:rsid w:val="00D667BE"/>
    <w:rsid w:val="00DB3D8E"/>
    <w:rsid w:val="00E46BB2"/>
    <w:rsid w:val="00EB57EC"/>
    <w:rsid w:val="00F32C8C"/>
    <w:rsid w:val="00F476D9"/>
    <w:rsid w:val="00F75024"/>
    <w:rsid w:val="00F9452E"/>
    <w:rsid w:val="00FF3E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24E66"/>
  <w15:chartTrackingRefBased/>
  <w15:docId w15:val="{41888E13-8E63-484B-93F6-380960F0B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7EC"/>
    <w:rPr>
      <w:rFonts w:eastAsiaTheme="majorEastAsia" w:cstheme="majorBidi"/>
      <w:color w:val="272727" w:themeColor="text1" w:themeTint="D8"/>
    </w:rPr>
  </w:style>
  <w:style w:type="paragraph" w:styleId="Title">
    <w:name w:val="Title"/>
    <w:basedOn w:val="Normal"/>
    <w:next w:val="Normal"/>
    <w:link w:val="TitleChar"/>
    <w:uiPriority w:val="10"/>
    <w:qFormat/>
    <w:rsid w:val="00EB5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7EC"/>
    <w:pPr>
      <w:spacing w:before="160"/>
      <w:jc w:val="center"/>
    </w:pPr>
    <w:rPr>
      <w:i/>
      <w:iCs/>
      <w:color w:val="404040" w:themeColor="text1" w:themeTint="BF"/>
    </w:rPr>
  </w:style>
  <w:style w:type="character" w:customStyle="1" w:styleId="QuoteChar">
    <w:name w:val="Quote Char"/>
    <w:basedOn w:val="DefaultParagraphFont"/>
    <w:link w:val="Quote"/>
    <w:uiPriority w:val="29"/>
    <w:rsid w:val="00EB57EC"/>
    <w:rPr>
      <w:i/>
      <w:iCs/>
      <w:color w:val="404040" w:themeColor="text1" w:themeTint="BF"/>
    </w:rPr>
  </w:style>
  <w:style w:type="paragraph" w:styleId="ListParagraph">
    <w:name w:val="List Paragraph"/>
    <w:basedOn w:val="Normal"/>
    <w:uiPriority w:val="34"/>
    <w:qFormat/>
    <w:rsid w:val="00EB57EC"/>
    <w:pPr>
      <w:ind w:left="720"/>
      <w:contextualSpacing/>
    </w:pPr>
  </w:style>
  <w:style w:type="character" w:styleId="IntenseEmphasis">
    <w:name w:val="Intense Emphasis"/>
    <w:basedOn w:val="DefaultParagraphFont"/>
    <w:uiPriority w:val="21"/>
    <w:qFormat/>
    <w:rsid w:val="00EB57EC"/>
    <w:rPr>
      <w:i/>
      <w:iCs/>
      <w:color w:val="0F4761" w:themeColor="accent1" w:themeShade="BF"/>
    </w:rPr>
  </w:style>
  <w:style w:type="paragraph" w:styleId="IntenseQuote">
    <w:name w:val="Intense Quote"/>
    <w:basedOn w:val="Normal"/>
    <w:next w:val="Normal"/>
    <w:link w:val="IntenseQuoteChar"/>
    <w:uiPriority w:val="30"/>
    <w:qFormat/>
    <w:rsid w:val="00EB5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7EC"/>
    <w:rPr>
      <w:i/>
      <w:iCs/>
      <w:color w:val="0F4761" w:themeColor="accent1" w:themeShade="BF"/>
    </w:rPr>
  </w:style>
  <w:style w:type="character" w:styleId="IntenseReference">
    <w:name w:val="Intense Reference"/>
    <w:basedOn w:val="DefaultParagraphFont"/>
    <w:uiPriority w:val="32"/>
    <w:qFormat/>
    <w:rsid w:val="00EB57EC"/>
    <w:rPr>
      <w:b/>
      <w:bCs/>
      <w:smallCaps/>
      <w:color w:val="0F4761" w:themeColor="accent1" w:themeShade="BF"/>
      <w:spacing w:val="5"/>
    </w:rPr>
  </w:style>
  <w:style w:type="character" w:styleId="Hyperlink">
    <w:name w:val="Hyperlink"/>
    <w:basedOn w:val="DefaultParagraphFont"/>
    <w:uiPriority w:val="99"/>
    <w:unhideWhenUsed/>
    <w:rsid w:val="00EB57EC"/>
    <w:rPr>
      <w:color w:val="467886" w:themeColor="hyperlink"/>
      <w:u w:val="single"/>
    </w:rPr>
  </w:style>
  <w:style w:type="paragraph" w:customStyle="1" w:styleId="EndNoteBibliographyTitle">
    <w:name w:val="EndNote Bibliography Title"/>
    <w:basedOn w:val="Normal"/>
    <w:link w:val="EndNoteBibliographyTitleChar"/>
    <w:rsid w:val="00EB57EC"/>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EB57EC"/>
    <w:rPr>
      <w:rFonts w:ascii="Aptos" w:hAnsi="Aptos"/>
      <w:noProof/>
      <w:lang w:val="en-US"/>
    </w:rPr>
  </w:style>
  <w:style w:type="paragraph" w:customStyle="1" w:styleId="EndNoteBibliography">
    <w:name w:val="EndNote Bibliography"/>
    <w:basedOn w:val="Normal"/>
    <w:link w:val="EndNoteBibliographyChar"/>
    <w:rsid w:val="00EB57EC"/>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EB57EC"/>
    <w:rPr>
      <w:rFonts w:ascii="Aptos" w:hAnsi="Aptos"/>
      <w:noProof/>
      <w:lang w:val="en-US"/>
    </w:rPr>
  </w:style>
  <w:style w:type="character" w:styleId="PlaceholderText">
    <w:name w:val="Placeholder Text"/>
    <w:basedOn w:val="DefaultParagraphFont"/>
    <w:uiPriority w:val="99"/>
    <w:semiHidden/>
    <w:rsid w:val="00EB57EC"/>
    <w:rPr>
      <w:color w:val="666666"/>
    </w:rPr>
  </w:style>
  <w:style w:type="character" w:styleId="UnresolvedMention">
    <w:name w:val="Unresolved Mention"/>
    <w:basedOn w:val="DefaultParagraphFont"/>
    <w:uiPriority w:val="99"/>
    <w:semiHidden/>
    <w:unhideWhenUsed/>
    <w:rsid w:val="00EB57EC"/>
    <w:rPr>
      <w:color w:val="605E5C"/>
      <w:shd w:val="clear" w:color="auto" w:fill="E1DFDD"/>
    </w:rPr>
  </w:style>
  <w:style w:type="character" w:styleId="CommentReference">
    <w:name w:val="annotation reference"/>
    <w:basedOn w:val="DefaultParagraphFont"/>
    <w:uiPriority w:val="99"/>
    <w:semiHidden/>
    <w:unhideWhenUsed/>
    <w:rsid w:val="00D4209E"/>
    <w:rPr>
      <w:sz w:val="16"/>
      <w:szCs w:val="16"/>
    </w:rPr>
  </w:style>
  <w:style w:type="paragraph" w:styleId="CommentText">
    <w:name w:val="annotation text"/>
    <w:basedOn w:val="Normal"/>
    <w:link w:val="CommentTextChar"/>
    <w:uiPriority w:val="99"/>
    <w:unhideWhenUsed/>
    <w:rsid w:val="00D4209E"/>
    <w:pPr>
      <w:spacing w:line="240" w:lineRule="auto"/>
    </w:pPr>
    <w:rPr>
      <w:sz w:val="20"/>
      <w:szCs w:val="20"/>
    </w:rPr>
  </w:style>
  <w:style w:type="character" w:customStyle="1" w:styleId="CommentTextChar">
    <w:name w:val="Comment Text Char"/>
    <w:basedOn w:val="DefaultParagraphFont"/>
    <w:link w:val="CommentText"/>
    <w:uiPriority w:val="99"/>
    <w:rsid w:val="00D4209E"/>
    <w:rPr>
      <w:sz w:val="20"/>
      <w:szCs w:val="20"/>
    </w:rPr>
  </w:style>
  <w:style w:type="paragraph" w:styleId="CommentSubject">
    <w:name w:val="annotation subject"/>
    <w:basedOn w:val="CommentText"/>
    <w:next w:val="CommentText"/>
    <w:link w:val="CommentSubjectChar"/>
    <w:uiPriority w:val="99"/>
    <w:semiHidden/>
    <w:unhideWhenUsed/>
    <w:rsid w:val="00D4209E"/>
    <w:rPr>
      <w:b/>
      <w:bCs/>
    </w:rPr>
  </w:style>
  <w:style w:type="character" w:customStyle="1" w:styleId="CommentSubjectChar">
    <w:name w:val="Comment Subject Char"/>
    <w:basedOn w:val="CommentTextChar"/>
    <w:link w:val="CommentSubject"/>
    <w:uiPriority w:val="99"/>
    <w:semiHidden/>
    <w:rsid w:val="00D4209E"/>
    <w:rPr>
      <w:b/>
      <w:bCs/>
      <w:sz w:val="20"/>
      <w:szCs w:val="20"/>
    </w:rPr>
  </w:style>
  <w:style w:type="paragraph" w:styleId="Header">
    <w:name w:val="header"/>
    <w:basedOn w:val="Normal"/>
    <w:link w:val="HeaderChar"/>
    <w:uiPriority w:val="99"/>
    <w:unhideWhenUsed/>
    <w:rsid w:val="00CD6B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6B2D"/>
  </w:style>
  <w:style w:type="paragraph" w:styleId="Footer">
    <w:name w:val="footer"/>
    <w:basedOn w:val="Normal"/>
    <w:link w:val="FooterChar"/>
    <w:uiPriority w:val="99"/>
    <w:unhideWhenUsed/>
    <w:rsid w:val="00CD6B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B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92/jvms.71.821" TargetMode="Externa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yperlink" Target="https://doi.org/https://doi.org/10.1111/j.1469-7580.2011.01443.x"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11/joa.13261"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https://doi.org/10.1098/rsos.260107" TargetMode="External"/><Relationship Id="rId4" Type="http://schemas.openxmlformats.org/officeDocument/2006/relationships/footnotes" Target="footnotes.xml"/><Relationship Id="rId9" Type="http://schemas.openxmlformats.org/officeDocument/2006/relationships/hyperlink" Target="https://doi.org/10.1111/j.1469-7580.2005.00433.x-i1"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0F381AE-121B-48F5-A927-703F3BCD7A37}"/>
      </w:docPartPr>
      <w:docPartBody>
        <w:p w:rsidR="00034B82" w:rsidRDefault="00135EAD">
          <w:r w:rsidRPr="000551C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EAD"/>
    <w:rsid w:val="00034B82"/>
    <w:rsid w:val="00135EAD"/>
    <w:rsid w:val="001720A0"/>
    <w:rsid w:val="002D7C7C"/>
    <w:rsid w:val="004428BA"/>
    <w:rsid w:val="00834CA7"/>
    <w:rsid w:val="009A7E51"/>
    <w:rsid w:val="00F241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5EA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2213</Words>
  <Characters>12618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Ashleigh L. Wiseman</dc:creator>
  <cp:keywords/>
  <dc:description/>
  <cp:lastModifiedBy>Ashleigh L. Wiseman</cp:lastModifiedBy>
  <cp:revision>11</cp:revision>
  <dcterms:created xsi:type="dcterms:W3CDTF">2026-05-28T13:03:00Z</dcterms:created>
  <dcterms:modified xsi:type="dcterms:W3CDTF">2026-05-29T07:27:00Z</dcterms:modified>
</cp:coreProperties>
</file>