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3600"/>
            </w:pPr>
          </w:p>
          <w:p>
            <w:pPr>
              <w:pBdr>
                <w:bottom w:val="single" w:color="37DCF2" w:sz="6" w:space="8"/>
              </w:pBdr>
              <w:spacing w:after="500"/>
              <w:ind w:left="1200" w:right="800"/>
            </w:pPr>
            <w:r>
              <w:rPr>
                <w:rFonts w:ascii="Calibri"/>
                <w:color w:val="37DCF2"/>
                <w:spacing w:val="40"/>
                <w:sz w:val="18"/>
                <w:szCs w:val="18"/>
              </w:rPr>
              <w:t xml:space="preserve">N E U R O - A C O U S T I C   T R A N S M U T A T I O N   E N G I N E</w:t>
            </w:r>
          </w:p>
          <w:p>
            <w:pPr>
              <w:spacing w:after="80"/>
              <w:ind w:left="1200"/>
            </w:pPr>
            <w:r>
              <w:rPr>
                <w:rFonts w:ascii="Arial" w:eastAsia="SimHei"/>
                <w:b/>
                <w:bCs/>
                <w:color w:val="FFFFFF"/>
                <w:sz w:val="80"/>
                <w:szCs w:val="80"/>
              </w:rPr>
              <w:t xml:space="preserve">NATE vΞ⁷·₁</w:t>
            </w:r>
          </w:p>
          <w:p>
            <w:pPr>
              <w:spacing w:after="300"/>
              <w:ind w:left="1200"/>
            </w:pPr>
            <w:r>
              <w:rPr>
                <w:rFonts w:ascii="Arial" w:eastAsia="SimHei"/>
                <w:b/>
                <w:bCs/>
                <w:color w:val="FFFFFF"/>
                <w:sz w:val="44"/>
                <w:szCs w:val="44"/>
              </w:rPr>
              <w:t xml:space="preserve">Comprehensive Revised Framework</w:t>
            </w:r>
          </w:p>
          <w:p>
            <w:pPr>
              <w:spacing w:after="200"/>
              <w:ind w:left="1200"/>
            </w:pPr>
            <w:r>
              <w:rPr>
                <w:rFonts w:ascii="Arial" w:eastAsia="Microsoft YaHei"/>
                <w:color w:val="B0B8C0"/>
                <w:sz w:val="24"/>
                <w:szCs w:val="24"/>
              </w:rPr>
              <w:t xml:space="preserve">Speculative Theoretical Framework — Post-Audit Revision</w:t>
            </w:r>
          </w:p>
          <w:p>
            <w:pPr>
              <w:spacing w:after="600"/>
              <w:ind w:left="1200"/>
            </w:pPr>
            <w:r>
              <w:rPr>
                <w:rFonts w:ascii="Arial" w:eastAsia="Microsoft YaHei"/>
                <w:color w:val="B0B8C0"/>
                <w:sz w:val="22"/>
                <w:szCs w:val="22"/>
              </w:rPr>
              <w:t xml:space="preserve">Addressing 144 External Audit Findings</w:t>
            </w:r>
          </w:p>
          <w:p>
            <w:pPr>
              <w:pBdr>
                <w:left w:val="single" w:color="37DCF2" w:sz="8" w:space="12"/>
              </w:pBdr>
              <w:spacing w:after="60"/>
              <w:ind w:left="1400"/>
            </w:pPr>
            <w:r>
              <w:rPr>
                <w:rFonts w:ascii="Arial" w:eastAsia="Microsoft YaHei"/>
                <w:color w:val="90989F"/>
                <w:sz w:val="22"/>
                <w:szCs w:val="22"/>
              </w:rPr>
              <w:t xml:space="preserve">Classification: Speculative / Philosophical Proposal</w:t>
            </w:r>
          </w:p>
          <w:p>
            <w:pPr>
              <w:pBdr>
                <w:left w:val="single" w:color="37DCF2" w:sz="8" w:space="12"/>
              </w:pBdr>
              <w:spacing w:after="60"/>
              <w:ind w:left="1400"/>
            </w:pPr>
            <w:r>
              <w:rPr>
                <w:rFonts w:ascii="Arial" w:eastAsia="Microsoft YaHei"/>
                <w:color w:val="90989F"/>
                <w:sz w:val="22"/>
                <w:szCs w:val="22"/>
              </w:rPr>
              <w:t xml:space="preserve">Status: Post-External-Audit Revision</w:t>
            </w:r>
          </w:p>
          <w:p>
            <w:pPr>
              <w:pBdr>
                <w:left w:val="single" w:color="37DCF2" w:sz="8" w:space="12"/>
              </w:pBdr>
              <w:spacing w:after="60"/>
              <w:ind w:left="1400"/>
            </w:pPr>
            <w:r>
              <w:rPr>
                <w:rFonts w:ascii="Arial" w:eastAsia="Microsoft YaHei"/>
                <w:color w:val="90989F"/>
                <w:sz w:val="22"/>
                <w:szCs w:val="22"/>
              </w:rPr>
              <w:t xml:space="preserve">Version: vΞ⁷·₁  |  2026-04-14</w:t>
            </w:r>
          </w:p>
          <w:p>
            <w:pPr>
              <w:pBdr>
                <w:left w:val="single" w:color="37DCF2" w:sz="8" w:space="12"/>
              </w:pBdr>
              <w:spacing w:after="60"/>
              <w:ind w:left="1400"/>
            </w:pPr>
            <w:r>
              <w:rPr>
                <w:rFonts w:ascii="Arial" w:eastAsia="Microsoft YaHei"/>
                <w:color w:val="90989F"/>
                <w:sz w:val="22"/>
                <w:szCs w:val="22"/>
              </w:rPr>
              <w:t xml:space="preserve">NOT a clinical, medical, or therapeutic device specification</w:t>
            </w:r>
          </w:p>
          <w:p>
            <w:pPr>
              <w:spacing w:before="2600"/>
            </w:pPr>
          </w:p>
          <w:p>
            <w:pPr>
              <w:pBdr>
                <w:top w:val="single" w:color="37DCF2" w:sz="2" w:space="8"/>
              </w:pBdr>
              <w:spacing w:before="200"/>
              <w:ind w:left="1200" w:right="800"/>
            </w:pPr>
            <w:r>
              <w:rPr>
                <w:rFonts w:ascii="Arial"/>
                <w:color w:val="687078"/>
                <w:sz w:val="16"/>
                <w:szCs w:val="16"/>
              </w:rPr>
              <w:t xml:space="preserve">CONFIDENTIAL  —  FOR THEORETICAL DISCUSSION ONLY</w:t>
            </w:r>
            <w:r>
              <w:rPr>
                <w:sz w:val="16"/>
                <w:szCs w:val="16"/>
              </w:rPr>
              <w:t xml:space="preserve">                                                  </w:t>
            </w:r>
            <w:r>
              <w:rPr>
                <w:rFonts w:ascii="Arial"/>
                <w:color w:val="687078"/>
                <w:sz w:val="16"/>
                <w:szCs w:val="16"/>
              </w:rPr>
              <w:t xml:space="preserve">Rev 7.1</w:t>
            </w:r>
          </w:p>
        </w:tc>
      </w:tr>
    </w:tbl>
    <w:p>
      <w:pPr>
        <w:sectPr>
          <w:pgSz w:w="11906" w:h="16838" w:orient="portrait"/>
          <w:pgMar w:top="0" w:right="0" w:bottom="0" w:left="0" w:header="708" w:footer="708" w:gutter="0"/>
          <w:pgNumType/>
          <w:docGrid w:linePitch="360"/>
        </w:sectPr>
      </w:pPr>
    </w:p>
    <w:p>
      <w:pPr>
        <w:spacing w:after="400" w:before="200"/>
      </w:pPr>
      <w:r>
        <w:rPr>
          <w:rFonts w:eastAsia="SimHei"/>
          <w:b/>
          <w:bCs/>
          <w:color w:val="0A0A0A"/>
          <w:sz w:val="36"/>
          <w:szCs w:val="36"/>
        </w:rPr>
        <w:t xml:space="preserve">目录</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Preamble and Fundamental Recharacterization</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Executive Summary</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Scope of Revision</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Key Architectural Changes from vΞ⁶·₀</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3  Comprehensive Audit Resolution Matrix</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3.1  Critical Severity (15 Findings) — Full Resolution</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3.2  High Severity (46 Findings) — Resolution Summary</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3.3  Medium and Low Severity — Bulk Resolution</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4  Revised Core Architecture</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4.1  State Space Model (Revised)</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4.2  Four-Layer Data Flow (Corrected)</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4.3  EEG Acquisition Requirements (Revised)</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4.4  Acoustic Stimulation Subsystem (Corrected)</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4.5  Signal Processing Pipeline (Corrected)</w:t>
            </w:r>
            <w:r>
              <w:tab/>
            </w:r>
            <w:r>
              <w:fldChar w:fldCharType="begin"/>
            </w:r>
            <w:r>
              <w:instrText xml:space="preserve"> PAGEREF _Toc100013 \h </w:instrText>
            </w:r>
            <w:r>
              <w:fldChar w:fldCharType="separate"/>
            </w:r>
            <w:r>
              <w:t>6</w:t>
            </w:r>
            <w:r>
              <w:fldChar w:fldCharType="end"/>
            </w:r>
          </w:hyperlink>
        </w:p>
        <w:p>
          <w:pPr>
            <w:pStyle w:val="9"/>
            <w:tabs>
              <w:tab w:val="right" w:leader="dot" w:pos="9026"/>
            </w:tabs>
            <w:spacing w:before="120" w:after="60"/>
          </w:pPr>
          <w:hyperlink w:anchor="_Toc100014" w:history="1">
            <w:r>
              <w:rPr>
                <w:rStyle w:val="Hyperlink"/>
              </w:rPr>
              <w:t>5  Revised Safety Framework</w:t>
            </w:r>
            <w:r>
              <w:tab/>
            </w:r>
            <w:r>
              <w:fldChar w:fldCharType="begin"/>
            </w:r>
            <w:r>
              <w:instrText xml:space="preserve"> PAGEREF _Toc100014 \h </w:instrText>
            </w:r>
            <w:r>
              <w:fldChar w:fldCharType="separate"/>
            </w:r>
            <w:r>
              <w:t>7</w:t>
            </w:r>
            <w:r>
              <w:fldChar w:fldCharType="end"/>
            </w:r>
          </w:hyperlink>
        </w:p>
        <w:p>
          <w:pPr>
            <w:pStyle w:val="11"/>
            <w:ind w:left="360"/>
            <w:tabs>
              <w:tab w:val="right" w:leader="dot" w:pos="9026"/>
            </w:tabs>
            <w:spacing w:before="120" w:after="60"/>
          </w:pPr>
          <w:hyperlink w:anchor="_Toc100015" w:history="1">
            <w:r>
              <w:rPr>
                <w:rStyle w:val="Hyperlink"/>
              </w:rPr>
              <w:t>5.1  Regulatory Baseline</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5.2  Corrected Exposure Limits</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5.3  Thermal Model (Corrected)</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5.4  Safety Interlock Architecture</w:t>
            </w:r>
            <w:r>
              <w:tab/>
            </w:r>
            <w:r>
              <w:fldChar w:fldCharType="begin"/>
            </w:r>
            <w:r>
              <w:instrText xml:space="preserve"> PAGEREF _Toc100018 \h </w:instrText>
            </w:r>
            <w:r>
              <w:fldChar w:fldCharType="separate"/>
            </w:r>
            <w:r>
              <w:t>8</w:t>
            </w:r>
            <w:r>
              <w:fldChar w:fldCharType="end"/>
            </w:r>
          </w:hyperlink>
        </w:p>
        <w:p>
          <w:pPr>
            <w:pStyle w:val="9"/>
            <w:tabs>
              <w:tab w:val="right" w:leader="dot" w:pos="9026"/>
            </w:tabs>
            <w:spacing w:before="120" w:after="60"/>
          </w:pPr>
          <w:hyperlink w:anchor="_Toc100019" w:history="1">
            <w:r>
              <w:rPr>
                <w:rStyle w:val="Hyperlink"/>
              </w:rPr>
              <w:t>6  UTD Framework — Novel Theoretical Proposal</w:t>
            </w:r>
            <w:r>
              <w:tab/>
            </w:r>
            <w:r>
              <w:fldChar w:fldCharType="begin"/>
            </w:r>
            <w:r>
              <w:instrText xml:space="preserve"> PAGEREF _Toc100019 \h </w:instrText>
            </w:r>
            <w:r>
              <w:fldChar w:fldCharType="separate"/>
            </w:r>
            <w:r>
              <w:t>8</w:t>
            </w:r>
            <w:r>
              <w:fldChar w:fldCharType="end"/>
            </w:r>
          </w:hyperlink>
        </w:p>
        <w:p>
          <w:pPr>
            <w:pStyle w:val="11"/>
            <w:ind w:left="360"/>
            <w:tabs>
              <w:tab w:val="right" w:leader="dot" w:pos="9026"/>
            </w:tabs>
            <w:spacing w:before="120" w:after="60"/>
          </w:pPr>
          <w:hyperlink w:anchor="_Toc100020" w:history="1">
            <w:r>
              <w:rPr>
                <w:rStyle w:val="Hyperlink"/>
              </w:rPr>
              <w:t>6.1  Origin and Status Acknowledgment</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6.2  Terminology Analysis: “Transmutation”</w:t>
            </w:r>
            <w:r>
              <w:tab/>
            </w:r>
            <w:r>
              <w:fldChar w:fldCharType="begin"/>
            </w:r>
            <w:r>
              <w:instrText xml:space="preserve"> PAGEREF _Toc100021 \h </w:instrText>
            </w:r>
            <w:r>
              <w:fldChar w:fldCharType="separate"/>
            </w:r>
            <w:r>
              <w:t>9</w:t>
            </w:r>
            <w:r>
              <w:fldChar w:fldCharType="end"/>
            </w:r>
          </w:hyperlink>
        </w:p>
        <w:p>
          <w:pPr>
            <w:pStyle w:val="11"/>
            <w:ind w:left="360"/>
            <w:tabs>
              <w:tab w:val="right" w:leader="dot" w:pos="9026"/>
            </w:tabs>
            <w:spacing w:before="120" w:after="60"/>
          </w:pPr>
          <w:hyperlink w:anchor="_Toc100022" w:history="1">
            <w:r>
              <w:rPr>
                <w:rStyle w:val="Hyperlink"/>
              </w:rPr>
              <w:t>6.3  UTD Axiom Set (Revised)</w:t>
            </w:r>
            <w:r>
              <w:tab/>
            </w:r>
            <w:r>
              <w:fldChar w:fldCharType="begin"/>
            </w:r>
            <w:r>
              <w:instrText xml:space="preserve"> PAGEREF _Toc100022 \h </w:instrText>
            </w:r>
            <w:r>
              <w:fldChar w:fldCharType="separate"/>
            </w:r>
            <w:r>
              <w:t>9</w:t>
            </w:r>
            <w:r>
              <w:fldChar w:fldCharType="end"/>
            </w:r>
          </w:hyperlink>
        </w:p>
        <w:p>
          <w:pPr>
            <w:pStyle w:val="9"/>
            <w:tabs>
              <w:tab w:val="right" w:leader="dot" w:pos="9026"/>
            </w:tabs>
            <w:spacing w:before="120" w:after="60"/>
          </w:pPr>
          <w:hyperlink w:anchor="_Toc100023" w:history="1">
            <w:r>
              <w:rPr>
                <w:rStyle w:val="Hyperlink"/>
              </w:rPr>
              <w:t>7  Mathematical Foundation Corrections</w:t>
            </w:r>
            <w:r>
              <w:tab/>
            </w:r>
            <w:r>
              <w:fldChar w:fldCharType="begin"/>
            </w:r>
            <w:r>
              <w:instrText xml:space="preserve"> PAGEREF _Toc100023 \h </w:instrText>
            </w:r>
            <w:r>
              <w:fldChar w:fldCharType="separate"/>
            </w:r>
            <w:r>
              <w:t>9</w:t>
            </w:r>
            <w:r>
              <w:fldChar w:fldCharType="end"/>
            </w:r>
          </w:hyperlink>
        </w:p>
        <w:p>
          <w:pPr>
            <w:pStyle w:val="11"/>
            <w:ind w:left="360"/>
            <w:tabs>
              <w:tab w:val="right" w:leader="dot" w:pos="9026"/>
            </w:tabs>
            <w:spacing w:before="120" w:after="60"/>
          </w:pPr>
          <w:hyperlink w:anchor="_Toc100024" w:history="1">
            <w:r>
              <w:rPr>
                <w:rStyle w:val="Hyperlink"/>
              </w:rPr>
              <w:t>7.1  Quantum Tunneling Formalism (Corrected)</w:t>
            </w:r>
            <w:r>
              <w:tab/>
            </w:r>
            <w:r>
              <w:fldChar w:fldCharType="begin"/>
            </w:r>
            <w:r>
              <w:instrText xml:space="preserve"> PAGEREF _Toc100024 \h </w:instrText>
            </w:r>
            <w:r>
              <w:fldChar w:fldCharType="separate"/>
            </w:r>
            <w:r>
              <w:t>10</w:t>
            </w:r>
            <w:r>
              <w:fldChar w:fldCharType="end"/>
            </w:r>
          </w:hyperlink>
        </w:p>
        <w:p>
          <w:pPr>
            <w:pStyle w:val="11"/>
            <w:ind w:left="360"/>
            <w:tabs>
              <w:tab w:val="right" w:leader="dot" w:pos="9026"/>
            </w:tabs>
            <w:spacing w:before="120" w:after="60"/>
          </w:pPr>
          <w:hyperlink w:anchor="_Toc100025" w:history="1">
            <w:r>
              <w:rPr>
                <w:rStyle w:val="Hyperlink"/>
              </w:rPr>
              <w:t>7.2  Path Integral Measure Definition</w:t>
            </w:r>
            <w:r>
              <w:tab/>
            </w:r>
            <w:r>
              <w:fldChar w:fldCharType="begin"/>
            </w:r>
            <w:r>
              <w:instrText xml:space="preserve"> PAGEREF _Toc100025 \h </w:instrText>
            </w:r>
            <w:r>
              <w:fldChar w:fldCharType="separate"/>
            </w:r>
            <w:r>
              <w:t>10</w:t>
            </w:r>
            <w:r>
              <w:fldChar w:fldCharType="end"/>
            </w:r>
          </w:hyperlink>
        </w:p>
        <w:p>
          <w:pPr>
            <w:pStyle w:val="11"/>
            <w:ind w:left="360"/>
            <w:tabs>
              <w:tab w:val="right" w:leader="dot" w:pos="9026"/>
            </w:tabs>
            <w:spacing w:before="120" w:after="60"/>
          </w:pPr>
          <w:hyperlink w:anchor="_Toc100026" w:history="1">
            <w:r>
              <w:rPr>
                <w:rStyle w:val="Hyperlink"/>
              </w:rPr>
              <w:t>7.3  DMDc Normalization (Corrected)</w:t>
            </w:r>
            <w:r>
              <w:tab/>
            </w:r>
            <w:r>
              <w:fldChar w:fldCharType="begin"/>
            </w:r>
            <w:r>
              <w:instrText xml:space="preserve"> PAGEREF _Toc100026 \h </w:instrText>
            </w:r>
            <w:r>
              <w:fldChar w:fldCharType="separate"/>
            </w:r>
            <w:r>
              <w:t>11</w:t>
            </w:r>
            <w:r>
              <w:fldChar w:fldCharType="end"/>
            </w:r>
          </w:hyperlink>
        </w:p>
        <w:p>
          <w:pPr>
            <w:pStyle w:val="11"/>
            <w:ind w:left="360"/>
            <w:tabs>
              <w:tab w:val="right" w:leader="dot" w:pos="9026"/>
            </w:tabs>
            <w:spacing w:before="120" w:after="60"/>
          </w:pPr>
          <w:hyperlink w:anchor="_Toc100027" w:history="1">
            <w:r>
              <w:rPr>
                <w:rStyle w:val="Hyperlink"/>
              </w:rPr>
              <w:t>7.4  LPV Stability Analysis (Added)</w:t>
            </w:r>
            <w:r>
              <w:tab/>
            </w:r>
            <w:r>
              <w:fldChar w:fldCharType="begin"/>
            </w:r>
            <w:r>
              <w:instrText xml:space="preserve"> PAGEREF _Toc100027 \h </w:instrText>
            </w:r>
            <w:r>
              <w:fldChar w:fldCharType="separate"/>
            </w:r>
            <w:r>
              <w:t>11</w:t>
            </w:r>
            <w:r>
              <w:fldChar w:fldCharType="end"/>
            </w:r>
          </w:hyperlink>
        </w:p>
        <w:p>
          <w:pPr>
            <w:pStyle w:val="11"/>
            <w:ind w:left="360"/>
            <w:tabs>
              <w:tab w:val="right" w:leader="dot" w:pos="9026"/>
            </w:tabs>
            <w:spacing w:before="120" w:after="60"/>
          </w:pPr>
          <w:hyperlink w:anchor="_Toc100028" w:history="1">
            <w:r>
              <w:rPr>
                <w:rStyle w:val="Hyperlink"/>
              </w:rPr>
              <w:t>7.5  Stuart-Landau Coupling (Corrected)</w:t>
            </w:r>
            <w:r>
              <w:tab/>
            </w:r>
            <w:r>
              <w:fldChar w:fldCharType="begin"/>
            </w:r>
            <w:r>
              <w:instrText xml:space="preserve"> PAGEREF _Toc100028 \h </w:instrText>
            </w:r>
            <w:r>
              <w:fldChar w:fldCharType="separate"/>
            </w:r>
            <w:r>
              <w:t>11</w:t>
            </w:r>
            <w:r>
              <w:fldChar w:fldCharType="end"/>
            </w:r>
          </w:hyperlink>
        </w:p>
        <w:p>
          <w:pPr>
            <w:pStyle w:val="9"/>
            <w:tabs>
              <w:tab w:val="right" w:leader="dot" w:pos="9026"/>
            </w:tabs>
            <w:spacing w:before="120" w:after="60"/>
          </w:pPr>
          <w:hyperlink w:anchor="_Toc100029" w:history="1">
            <w:r>
              <w:rPr>
                <w:rStyle w:val="Hyperlink"/>
              </w:rPr>
              <w:t>8  Ontological Framework — Recharacterized</w:t>
            </w:r>
            <w:r>
              <w:tab/>
            </w:r>
            <w:r>
              <w:fldChar w:fldCharType="begin"/>
            </w:r>
            <w:r>
              <w:instrText xml:space="preserve"> PAGEREF _Toc100029 \h </w:instrText>
            </w:r>
            <w:r>
              <w:fldChar w:fldCharType="separate"/>
            </w:r>
            <w:r>
              <w:t>12</w:t>
            </w:r>
            <w:r>
              <w:fldChar w:fldCharType="end"/>
            </w:r>
          </w:hyperlink>
        </w:p>
        <w:p>
          <w:pPr>
            <w:pStyle w:val="11"/>
            <w:ind w:left="360"/>
            <w:tabs>
              <w:tab w:val="right" w:leader="dot" w:pos="9026"/>
            </w:tabs>
            <w:spacing w:before="120" w:after="60"/>
          </w:pPr>
          <w:hyperlink w:anchor="_Toc100030" w:history="1">
            <w:r>
              <w:rPr>
                <w:rStyle w:val="Hyperlink"/>
              </w:rPr>
              <w:t>8.1  Recharacterization Statement</w:t>
            </w:r>
            <w:r>
              <w:tab/>
            </w:r>
            <w:r>
              <w:fldChar w:fldCharType="begin"/>
            </w:r>
            <w:r>
              <w:instrText xml:space="preserve"> PAGEREF _Toc100030 \h </w:instrText>
            </w:r>
            <w:r>
              <w:fldChar w:fldCharType="separate"/>
            </w:r>
            <w:r>
              <w:t>12</w:t>
            </w:r>
            <w:r>
              <w:fldChar w:fldCharType="end"/>
            </w:r>
          </w:hyperlink>
        </w:p>
        <w:p>
          <w:pPr>
            <w:pStyle w:val="11"/>
            <w:ind w:left="360"/>
            <w:tabs>
              <w:tab w:val="right" w:leader="dot" w:pos="9026"/>
            </w:tabs>
            <w:spacing w:before="120" w:after="60"/>
          </w:pPr>
          <w:hyperlink w:anchor="_Toc100031" w:history="1">
            <w:r>
              <w:rPr>
                <w:rStyle w:val="Hyperlink"/>
              </w:rPr>
              <w:t>8.2  Conservation Law Compliance</w:t>
            </w:r>
            <w:r>
              <w:tab/>
            </w:r>
            <w:r>
              <w:fldChar w:fldCharType="begin"/>
            </w:r>
            <w:r>
              <w:instrText xml:space="preserve"> PAGEREF _Toc100031 \h </w:instrText>
            </w:r>
            <w:r>
              <w:fldChar w:fldCharType="separate"/>
            </w:r>
            <w:r>
              <w:t>13</w:t>
            </w:r>
            <w:r>
              <w:fldChar w:fldCharType="end"/>
            </w:r>
          </w:hyperlink>
        </w:p>
        <w:p>
          <w:pPr>
            <w:pStyle w:val="11"/>
            <w:ind w:left="360"/>
            <w:tabs>
              <w:tab w:val="right" w:leader="dot" w:pos="9026"/>
            </w:tabs>
            <w:spacing w:before="120" w:after="60"/>
          </w:pPr>
          <w:hyperlink w:anchor="_Toc100032" w:history="1">
            <w:r>
              <w:rPr>
                <w:rStyle w:val="Hyperlink"/>
              </w:rPr>
              <w:t>8.3  Inverse Causality Reformulation</w:t>
            </w:r>
            <w:r>
              <w:tab/>
            </w:r>
            <w:r>
              <w:fldChar w:fldCharType="begin"/>
            </w:r>
            <w:r>
              <w:instrText xml:space="preserve"> PAGEREF _Toc100032 \h </w:instrText>
            </w:r>
            <w:r>
              <w:fldChar w:fldCharType="separate"/>
            </w:r>
            <w:r>
              <w:t>13</w:t>
            </w:r>
            <w:r>
              <w:fldChar w:fldCharType="end"/>
            </w:r>
          </w:hyperlink>
        </w:p>
        <w:p>
          <w:pPr>
            <w:pStyle w:val="11"/>
            <w:ind w:left="360"/>
            <w:tabs>
              <w:tab w:val="right" w:leader="dot" w:pos="9026"/>
            </w:tabs>
            <w:spacing w:before="120" w:after="60"/>
          </w:pPr>
          <w:hyperlink w:anchor="_Toc100033" w:history="1">
            <w:r>
              <w:rPr>
                <w:rStyle w:val="Hyperlink"/>
              </w:rPr>
              <w:t>8.4  Thought Mass Equivalence (Removed)</w:t>
            </w:r>
            <w:r>
              <w:tab/>
            </w:r>
            <w:r>
              <w:fldChar w:fldCharType="begin"/>
            </w:r>
            <w:r>
              <w:instrText xml:space="preserve"> PAGEREF _Toc100033 \h </w:instrText>
            </w:r>
            <w:r>
              <w:fldChar w:fldCharType="separate"/>
            </w:r>
            <w:r>
              <w:t>13</w:t>
            </w:r>
            <w:r>
              <w:fldChar w:fldCharType="end"/>
            </w:r>
          </w:hyperlink>
        </w:p>
        <w:p>
          <w:pPr>
            <w:pStyle w:val="11"/>
            <w:ind w:left="360"/>
            <w:tabs>
              <w:tab w:val="right" w:leader="dot" w:pos="9026"/>
            </w:tabs>
            <w:spacing w:before="120" w:after="60"/>
          </w:pPr>
          <w:hyperlink w:anchor="_Toc100034" w:history="1">
            <w:r>
              <w:rPr>
                <w:rStyle w:val="Hyperlink"/>
              </w:rPr>
              <w:t>8.5  Macroscopic Quantum Coherence (Recharacterized)</w:t>
            </w:r>
            <w:r>
              <w:tab/>
            </w:r>
            <w:r>
              <w:fldChar w:fldCharType="begin"/>
            </w:r>
            <w:r>
              <w:instrText xml:space="preserve"> PAGEREF _Toc100034 \h </w:instrText>
            </w:r>
            <w:r>
              <w:fldChar w:fldCharType="separate"/>
            </w:r>
            <w:r>
              <w:t>14</w:t>
            </w:r>
            <w:r>
              <w:fldChar w:fldCharType="end"/>
            </w:r>
          </w:hyperlink>
        </w:p>
        <w:p>
          <w:pPr>
            <w:pStyle w:val="9"/>
            <w:tabs>
              <w:tab w:val="right" w:leader="dot" w:pos="9026"/>
            </w:tabs>
            <w:spacing w:before="120" w:after="60"/>
          </w:pPr>
          <w:hyperlink w:anchor="_Toc100035" w:history="1">
            <w:r>
              <w:rPr>
                <w:rStyle w:val="Hyperlink"/>
              </w:rPr>
              <w:t>9  MOGOPS Axiom Set — Revised</w:t>
            </w:r>
            <w:r>
              <w:tab/>
            </w:r>
            <w:r>
              <w:fldChar w:fldCharType="begin"/>
            </w:r>
            <w:r>
              <w:instrText xml:space="preserve"> PAGEREF _Toc100035 \h </w:instrText>
            </w:r>
            <w:r>
              <w:fldChar w:fldCharType="separate"/>
            </w:r>
            <w:r>
              <w:t>14</w:t>
            </w:r>
            <w:r>
              <w:fldChar w:fldCharType="end"/>
            </w:r>
          </w:hyperlink>
        </w:p>
        <w:p>
          <w:pPr>
            <w:pStyle w:val="11"/>
            <w:ind w:left="360"/>
            <w:tabs>
              <w:tab w:val="right" w:leader="dot" w:pos="9026"/>
            </w:tabs>
            <w:spacing w:before="120" w:after="60"/>
          </w:pPr>
          <w:hyperlink w:anchor="_Toc100036" w:history="1">
            <w:r>
              <w:rPr>
                <w:rStyle w:val="Hyperlink"/>
              </w:rPr>
              <w:t>9.1  Tier 1: Foundational Definitions</w:t>
            </w:r>
            <w:r>
              <w:tab/>
            </w:r>
            <w:r>
              <w:fldChar w:fldCharType="begin"/>
            </w:r>
            <w:r>
              <w:instrText xml:space="preserve"> PAGEREF _Toc100036 \h </w:instrText>
            </w:r>
            <w:r>
              <w:fldChar w:fldCharType="separate"/>
            </w:r>
            <w:r>
              <w:t>14</w:t>
            </w:r>
            <w:r>
              <w:fldChar w:fldCharType="end"/>
            </w:r>
          </w:hyperlink>
        </w:p>
        <w:p>
          <w:pPr>
            <w:pStyle w:val="11"/>
            <w:ind w:left="360"/>
            <w:tabs>
              <w:tab w:val="right" w:leader="dot" w:pos="9026"/>
            </w:tabs>
            <w:spacing w:before="120" w:after="60"/>
          </w:pPr>
          <w:hyperlink w:anchor="_Toc100037" w:history="1">
            <w:r>
              <w:rPr>
                <w:rStyle w:val="Hyperlink"/>
              </w:rPr>
              <w:t>9.2  Tier 2: Empirical Hypotheses</w:t>
            </w:r>
            <w:r>
              <w:tab/>
            </w:r>
            <w:r>
              <w:fldChar w:fldCharType="begin"/>
            </w:r>
            <w:r>
              <w:instrText xml:space="preserve"> PAGEREF _Toc100037 \h </w:instrText>
            </w:r>
            <w:r>
              <w:fldChar w:fldCharType="separate"/>
            </w:r>
            <w:r>
              <w:t>15</w:t>
            </w:r>
            <w:r>
              <w:fldChar w:fldCharType="end"/>
            </w:r>
          </w:hyperlink>
        </w:p>
        <w:p>
          <w:pPr>
            <w:pStyle w:val="11"/>
            <w:ind w:left="360"/>
            <w:tabs>
              <w:tab w:val="right" w:leader="dot" w:pos="9026"/>
            </w:tabs>
            <w:spacing w:before="120" w:after="60"/>
          </w:pPr>
          <w:hyperlink w:anchor="_Toc100038" w:history="1">
            <w:r>
              <w:rPr>
                <w:rStyle w:val="Hyperlink"/>
              </w:rPr>
              <w:t>9.3  Tier 3: Speculative Extensions</w:t>
            </w:r>
            <w:r>
              <w:tab/>
            </w:r>
            <w:r>
              <w:fldChar w:fldCharType="begin"/>
            </w:r>
            <w:r>
              <w:instrText xml:space="preserve"> PAGEREF _Toc100038 \h </w:instrText>
            </w:r>
            <w:r>
              <w:fldChar w:fldCharType="separate"/>
            </w:r>
            <w:r>
              <w:t>16</w:t>
            </w:r>
            <w:r>
              <w:fldChar w:fldCharType="end"/>
            </w:r>
          </w:hyperlink>
        </w:p>
        <w:p>
          <w:pPr>
            <w:pStyle w:val="9"/>
            <w:tabs>
              <w:tab w:val="right" w:leader="dot" w:pos="9026"/>
            </w:tabs>
            <w:spacing w:before="120" w:after="60"/>
          </w:pPr>
          <w:hyperlink w:anchor="_Toc100039" w:history="1">
            <w:r>
              <w:rPr>
                <w:rStyle w:val="Hyperlink"/>
              </w:rPr>
              <w:t>10  Validation Roadmap — Phase-Gated</w:t>
            </w:r>
            <w:r>
              <w:tab/>
            </w:r>
            <w:r>
              <w:fldChar w:fldCharType="begin"/>
            </w:r>
            <w:r>
              <w:instrText xml:space="preserve"> PAGEREF _Toc100039 \h </w:instrText>
            </w:r>
            <w:r>
              <w:fldChar w:fldCharType="separate"/>
            </w:r>
            <w:r>
              <w:t>16</w:t>
            </w:r>
            <w:r>
              <w:fldChar w:fldCharType="end"/>
            </w:r>
          </w:hyperlink>
        </w:p>
        <w:p>
          <w:pPr>
            <w:pStyle w:val="9"/>
            <w:tabs>
              <w:tab w:val="right" w:leader="dot" w:pos="9026"/>
            </w:tabs>
            <w:spacing w:before="120" w:after="60"/>
          </w:pPr>
          <w:hyperlink w:anchor="_Toc100040" w:history="1">
            <w:r>
              <w:rPr>
                <w:rStyle w:val="Hyperlink"/>
              </w:rPr>
              <w:t>11  Glossary of Terms</w:t>
            </w:r>
            <w:r>
              <w:tab/>
            </w:r>
            <w:r>
              <w:fldChar w:fldCharType="begin"/>
            </w:r>
            <w:r>
              <w:instrText xml:space="preserve"> PAGEREF _Toc100040 \h </w:instrText>
            </w:r>
            <w:r>
              <w:fldChar w:fldCharType="separate"/>
            </w:r>
            <w:r>
              <w:t>17</w:t>
            </w:r>
            <w:r>
              <w:fldChar w:fldCharType="end"/>
            </w:r>
          </w:hyperlink>
        </w:p>
        <w:p>
          <w:pPr>
            <w:pStyle w:val="9"/>
            <w:tabs>
              <w:tab w:val="right" w:leader="dot" w:pos="9026"/>
            </w:tabs>
            <w:spacing w:before="120" w:after="60"/>
          </w:pPr>
          <w:hyperlink w:anchor="_Toc100041" w:history="1">
            <w:r>
              <w:rPr>
                <w:rStyle w:val="Hyperlink"/>
              </w:rPr>
              <w:t>12  References</w:t>
            </w:r>
            <w:r>
              <w:tab/>
            </w:r>
            <w:r>
              <w:fldChar w:fldCharType="begin"/>
            </w:r>
            <w:r>
              <w:instrText xml:space="preserve"> PAGEREF _Toc100041 \h </w:instrText>
            </w:r>
            <w:r>
              <w:fldChar w:fldCharType="separate"/>
            </w:r>
            <w:r>
              <w:t>17</w:t>
            </w:r>
            <w:r>
              <w:fldChar w:fldCharType="end"/>
            </w:r>
          </w:hyperlink>
        </w:p>
        <w:p>
          <w:pPr>
            <w:pStyle w:val="11"/>
            <w:ind w:left="360"/>
            <w:tabs>
              <w:tab w:val="right" w:leader="dot" w:pos="9026"/>
            </w:tabs>
            <w:spacing w:before="120" w:after="60"/>
          </w:pPr>
          <w:hyperlink w:anchor="_Toc100042" w:history="1">
            <w:r>
              <w:rPr>
                <w:rStyle w:val="Hyperlink"/>
              </w:rPr>
              <w:t>12.1  Neuroscience and EEG</w:t>
            </w:r>
            <w:r>
              <w:tab/>
            </w:r>
            <w:r>
              <w:fldChar w:fldCharType="begin"/>
            </w:r>
            <w:r>
              <w:instrText xml:space="preserve"> PAGEREF _Toc100042 \h </w:instrText>
            </w:r>
            <w:r>
              <w:fldChar w:fldCharType="separate"/>
            </w:r>
            <w:r>
              <w:t>17</w:t>
            </w:r>
            <w:r>
              <w:fldChar w:fldCharType="end"/>
            </w:r>
          </w:hyperlink>
        </w:p>
        <w:p>
          <w:pPr>
            <w:pStyle w:val="11"/>
            <w:ind w:left="360"/>
            <w:tabs>
              <w:tab w:val="right" w:leader="dot" w:pos="9026"/>
            </w:tabs>
            <w:spacing w:before="120" w:after="60"/>
          </w:pPr>
          <w:hyperlink w:anchor="_Toc100043" w:history="1">
            <w:r>
              <w:rPr>
                <w:rStyle w:val="Hyperlink"/>
              </w:rPr>
              <w:t>12.2  Acoustics and Ultrasound</w:t>
            </w:r>
            <w:r>
              <w:tab/>
            </w:r>
            <w:r>
              <w:fldChar w:fldCharType="begin"/>
            </w:r>
            <w:r>
              <w:instrText xml:space="preserve"> PAGEREF _Toc100043 \h </w:instrText>
            </w:r>
            <w:r>
              <w:fldChar w:fldCharType="separate"/>
            </w:r>
            <w:r>
              <w:t>18</w:t>
            </w:r>
            <w:r>
              <w:fldChar w:fldCharType="end"/>
            </w:r>
          </w:hyperlink>
        </w:p>
        <w:p>
          <w:pPr>
            <w:pStyle w:val="11"/>
            <w:ind w:left="360"/>
            <w:tabs>
              <w:tab w:val="right" w:leader="dot" w:pos="9026"/>
            </w:tabs>
            <w:spacing w:before="120" w:after="60"/>
          </w:pPr>
          <w:hyperlink w:anchor="_Toc100044" w:history="1">
            <w:r>
              <w:rPr>
                <w:rStyle w:val="Hyperlink"/>
              </w:rPr>
              <w:t>12.3  Mathematics and Signal Processing</w:t>
            </w:r>
            <w:r>
              <w:tab/>
            </w:r>
            <w:r>
              <w:fldChar w:fldCharType="begin"/>
            </w:r>
            <w:r>
              <w:instrText xml:space="preserve"> PAGEREF _Toc100044 \h </w:instrText>
            </w:r>
            <w:r>
              <w:fldChar w:fldCharType="separate"/>
            </w:r>
            <w:r>
              <w:t>19</w:t>
            </w:r>
            <w:r>
              <w:fldChar w:fldCharType="end"/>
            </w:r>
          </w:hyperlink>
        </w:p>
        <w:p>
          <w:pPr>
            <w:pStyle w:val="11"/>
            <w:ind w:left="360"/>
            <w:tabs>
              <w:tab w:val="right" w:leader="dot" w:pos="9026"/>
            </w:tabs>
            <w:spacing w:before="120" w:after="60"/>
          </w:pPr>
          <w:hyperlink w:anchor="_Toc100045" w:history="1">
            <w:r>
              <w:rPr>
                <w:rStyle w:val="Hyperlink"/>
              </w:rPr>
              <w:t>12.4  Philosophy of Mind and Physics</w:t>
            </w:r>
            <w:r>
              <w:tab/>
            </w:r>
            <w:r>
              <w:fldChar w:fldCharType="begin"/>
            </w:r>
            <w:r>
              <w:instrText xml:space="preserve"> PAGEREF _Toc100045 \h </w:instrText>
            </w:r>
            <w:r>
              <w:fldChar w:fldCharType="separate"/>
            </w:r>
            <w:r>
              <w:t>20</w:t>
            </w:r>
            <w:r>
              <w:fldChar w:fldCharType="end"/>
            </w:r>
          </w:hyperlink>
        </w:p>
        <w:p>
          <w:pPr>
            <w:pStyle w:val="9"/>
            <w:tabs>
              <w:tab w:val="right" w:leader="dot" w:pos="9026"/>
            </w:tabs>
            <w:spacing w:before="120" w:after="60"/>
          </w:pPr>
          <w:hyperlink w:anchor="_Toc100046" w:history="1">
            <w:r>
              <w:rPr>
                <w:rStyle w:val="Hyperlink"/>
              </w:rPr>
              <w:t>13  Comprehensive Disclaimers</w:t>
            </w:r>
            <w:r>
              <w:tab/>
            </w:r>
            <w:r>
              <w:fldChar w:fldCharType="begin"/>
            </w:r>
            <w:r>
              <w:instrText xml:space="preserve"> PAGEREF _Toc100046 \h </w:instrText>
            </w:r>
            <w:r>
              <w:fldChar w:fldCharType="separate"/>
            </w:r>
            <w:r>
              <w:t>20</w:t>
            </w:r>
            <w:r>
              <w:fldChar w:fldCharType="end"/>
            </w:r>
          </w:hyperlink>
        </w:p>
        <w:p>
          <w:pPr>
            <w:pStyle w:val="11"/>
            <w:ind w:left="360"/>
            <w:tabs>
              <w:tab w:val="right" w:leader="dot" w:pos="9026"/>
            </w:tabs>
            <w:spacing w:before="120" w:after="60"/>
          </w:pPr>
          <w:hyperlink w:anchor="_Toc100047" w:history="1">
            <w:r>
              <w:rPr>
                <w:rStyle w:val="Hyperlink"/>
              </w:rPr>
              <w:t>13.1  Not a Medical Device</w:t>
            </w:r>
            <w:r>
              <w:tab/>
            </w:r>
            <w:r>
              <w:fldChar w:fldCharType="begin"/>
            </w:r>
            <w:r>
              <w:instrText xml:space="preserve"> PAGEREF _Toc100047 \h </w:instrText>
            </w:r>
            <w:r>
              <w:fldChar w:fldCharType="separate"/>
            </w:r>
            <w:r>
              <w:t>21</w:t>
            </w:r>
            <w:r>
              <w:fldChar w:fldCharType="end"/>
            </w:r>
          </w:hyperlink>
        </w:p>
        <w:p>
          <w:pPr>
            <w:pStyle w:val="11"/>
            <w:ind w:left="360"/>
            <w:tabs>
              <w:tab w:val="right" w:leader="dot" w:pos="9026"/>
            </w:tabs>
            <w:spacing w:before="120" w:after="60"/>
          </w:pPr>
          <w:hyperlink w:anchor="_Toc100048" w:history="1">
            <w:r>
              <w:rPr>
                <w:rStyle w:val="Hyperlink"/>
              </w:rPr>
              <w:t>13.2  Speculative Theoretical Status</w:t>
            </w:r>
            <w:r>
              <w:tab/>
            </w:r>
            <w:r>
              <w:fldChar w:fldCharType="begin"/>
            </w:r>
            <w:r>
              <w:instrText xml:space="preserve"> PAGEREF _Toc100048 \h </w:instrText>
            </w:r>
            <w:r>
              <w:fldChar w:fldCharType="separate"/>
            </w:r>
            <w:r>
              <w:t>21</w:t>
            </w:r>
            <w:r>
              <w:fldChar w:fldCharType="end"/>
            </w:r>
          </w:hyperlink>
        </w:p>
        <w:p>
          <w:pPr>
            <w:pStyle w:val="11"/>
            <w:ind w:left="360"/>
            <w:tabs>
              <w:tab w:val="right" w:leader="dot" w:pos="9026"/>
            </w:tabs>
            <w:spacing w:before="120" w:after="60"/>
          </w:pPr>
          <w:hyperlink w:anchor="_Toc100049" w:history="1">
            <w:r>
              <w:rPr>
                <w:rStyle w:val="Hyperlink"/>
              </w:rPr>
              <w:t>13.3  No Endorsement of Pseudoscientific Claims</w:t>
            </w:r>
            <w:r>
              <w:tab/>
            </w:r>
            <w:r>
              <w:fldChar w:fldCharType="begin"/>
            </w:r>
            <w:r>
              <w:instrText xml:space="preserve"> PAGEREF _Toc100049 \h </w:instrText>
            </w:r>
            <w:r>
              <w:fldChar w:fldCharType="separate"/>
            </w:r>
            <w:r>
              <w:t>21</w:t>
            </w:r>
            <w:r>
              <w:fldChar w:fldCharType="end"/>
            </w:r>
          </w:hyperlink>
        </w:p>
        <w:p>
          <w:pPr>
            <w:pStyle w:val="11"/>
            <w:ind w:left="360"/>
            <w:tabs>
              <w:tab w:val="right" w:leader="dot" w:pos="9026"/>
            </w:tabs>
            <w:spacing w:before="120" w:after="60"/>
          </w:pPr>
          <w:hyperlink w:anchor="_Toc100050" w:history="1">
            <w:r>
              <w:rPr>
                <w:rStyle w:val="Hyperlink"/>
              </w:rPr>
              <w:t>13.4  Regulatory Compliance Responsibility</w:t>
            </w:r>
            <w:r>
              <w:tab/>
            </w:r>
            <w:r>
              <w:fldChar w:fldCharType="begin"/>
            </w:r>
            <w:r>
              <w:instrText xml:space="preserve"> PAGEREF _Toc100050 \h </w:instrText>
            </w:r>
            <w:r>
              <w:fldChar w:fldCharType="separate"/>
            </w:r>
            <w:r>
              <w:t>21</w:t>
            </w:r>
            <w:r>
              <w:fldChar w:fldCharType="end"/>
            </w:r>
          </w:hyperlink>
        </w:p>
        <w:p>
          <w:pPr>
            <w:pStyle w:val="11"/>
            <w:ind w:left="360"/>
            <w:tabs>
              <w:tab w:val="right" w:leader="dot" w:pos="9026"/>
            </w:tabs>
            <w:spacing w:before="120" w:after="60"/>
          </w:pPr>
          <w:hyperlink w:anchor="_Toc100051" w:history="1">
            <w:r>
              <w:rPr>
                <w:rStyle w:val="Hyperlink"/>
              </w:rPr>
              <w:t>13.5  Intellectual Property and Attribution</w:t>
            </w:r>
            <w:r>
              <w:tab/>
            </w:r>
            <w:r>
              <w:fldChar w:fldCharType="begin"/>
            </w:r>
            <w:r>
              <w:instrText xml:space="preserve"> PAGEREF _Toc100051 \h </w:instrText>
            </w:r>
            <w:r>
              <w:fldChar w:fldCharType="separate"/>
            </w:r>
            <w:r>
              <w:t>22</w:t>
            </w:r>
            <w:r>
              <w:fldChar w:fldCharType="end"/>
            </w:r>
          </w:hyperlink>
        </w:p>
        <w:p>
          <w:r>
            <w:fldChar w:fldCharType="end"/>
          </w:r>
        </w:p>
      </w:sdtContent>
    </w:sdt>
    <w:p>
      <w:pPr>
        <w:spacing w:before="300"/>
      </w:pPr>
      <w:r>
        <w:rPr>
          <w:rFonts w:ascii="Calibri" w:eastAsia="Microsoft YaHei"/>
          <w:i/>
          <w:iCs/>
          <w:color w:val="999999"/>
          <w:sz w:val="18"/>
          <w:szCs w:val="18"/>
        </w:rPr>
        <w:t xml:space="preserve">[右键目录→“更新域”以刷新页码]</w:t>
      </w:r>
    </w:p>
    <w:p>
      <w:r>
        <w:br w:type="page"/>
      </w:r>
    </w:p>
    <w:p>
      <w:pPr>
        <w:sectPr>
          <w:headerReference w:type="default" r:id="rId7"/>
          <w:footerReference w:type="default" r:id="rId8"/>
          <w:type w:val="nextPage"/>
          <w:pgSz w:w="11906" w:h="16838" w:orient="portrait"/>
          <w:pgMar w:top="1440" w:right="1417" w:bottom="1440" w:left="1701" w:header="708" w:footer="708" w:gutter="0"/>
          <w:pgNumType/>
          <w:docGrid w:linePitch="360"/>
        </w:sectPr>
      </w:pPr>
    </w:p>
    <w:p>
      <w:pPr>
        <w:pStyle w:val="Heading1"/>
        <w:spacing w:after="200" w:before="480"/>
      </w:pPr>
      <w:bookmarkStart w:id="100000" w:name="_Toc100000"/>
      <w:r>
        <w:rPr>
          <w:rFonts w:ascii="Times New Roman" w:eastAsia="SimHei"/>
          <w:b/>
          <w:bCs/>
          <w:color w:val="0A0A0A"/>
          <w:sz w:val="32"/>
          <w:szCs w:val="32"/>
        </w:rPr>
        <w:t xml:space="preserve">1  Preamble and Fundamental Recharacterization</w:t>
      </w:r>
      <w:bookmarkEnd w:id="100000"/>
    </w:p>
    <w:p>
      <w:pPr>
        <w:keepNext w:val="false"/>
        <w:spacing w:after="80" w:line="312"/>
        <w:ind w:firstLine="480"/>
        <w:jc w:val="both"/>
      </w:pPr>
      <w:r>
        <w:rPr>
          <w:rFonts w:ascii="Times New Roman" w:eastAsia="SimSun"/>
          <w:b w:val="false"/>
          <w:bCs w:val="false"/>
          <w:i w:val="false"/>
          <w:iCs w:val="false"/>
          <w:color w:val="000000"/>
          <w:sz w:val="24"/>
          <w:szCs w:val="24"/>
        </w:rPr>
        <w:t xml:space="preserve">This document constitutes the comprehensive revision of the NATE (Neuro-Acoustic Transmutation Engine) framework, designated version vΞ⁷·₁, prepared in direct response to the 144-point external scientific audit conducted against the prior version (vΞ⁶·₀). The audit, delivered in eight sections of qualitative criticism accompanied by a numbered defect catalog spanning engineering specifications, ontological frameworks, MOGOPS axioms, and cross-document consistency, concluded with a definitive characterization of the prior work as a metaphysical fiction clothed in scientific engineering terminology. This revision accepts the central findings of that audit and fundamentally recharacterizes the entire framework accordingly.</w:t>
      </w:r>
    </w:p>
    <w:p>
      <w:pPr>
        <w:keepNext w:val="false"/>
        <w:spacing w:after="80" w:line="312"/>
        <w:ind w:firstLine="480"/>
        <w:jc w:val="both"/>
      </w:pPr>
      <w:r>
        <w:rPr>
          <w:rFonts w:ascii="Times New Roman" w:eastAsia="SimSun"/>
          <w:b w:val="false"/>
          <w:bCs w:val="false"/>
          <w:i w:val="false"/>
          <w:iCs w:val="false"/>
          <w:color w:val="000000"/>
          <w:sz w:val="24"/>
          <w:szCs w:val="24"/>
        </w:rPr>
        <w:t xml:space="preserve">The most consequential change in this revision is the formal reclassification of NATE from a purported science-grade engineering specification to what it has always实质上 been: a speculative theoretical framework and philosophical proposal. Every claim that previously implied empirical validation, clinical applicability, or engineering feasibility has been examined, and where such implications were unjustified, they have been explicitly retracted or reformulated as hypotheses pending experimental verification. This is not a cosmetic relabeling; it reflects a genuine paradigm shift in how the framework should be read, evaluated, and potentially built upon by future researchers.</w:t>
      </w:r>
    </w:p>
    <w:p>
      <w:pPr>
        <w:keepNext w:val="false"/>
        <w:spacing w:after="80" w:line="312"/>
        <w:ind w:firstLine="480"/>
        <w:jc w:val="both"/>
      </w:pPr>
      <w:r>
        <w:rPr>
          <w:rFonts w:ascii="Times New Roman" w:eastAsia="SimSun"/>
          <w:b w:val="false"/>
          <w:bCs w:val="false"/>
          <w:i w:val="false"/>
          <w:iCs w:val="false"/>
          <w:color w:val="000000"/>
          <w:sz w:val="24"/>
          <w:szCs w:val="24"/>
        </w:rPr>
        <w:t xml:space="preserve">The recharacterization extends to every component of the system. The Unified Transmutation Dynamics (UTD) framework, previously presented as if it were an established theoretical construct, is now explicitly identified as a novel proposal originating within this document series, with no prior existence in the peer-reviewed literature. The term transmutation, borrowed from alchemical and nuclear physics traditions, is retained as a metaphor for the hypothesized transformation of neural information states, but its limitations as a scientific term are acknowledged and discussed at length. Claims regarding real-time extraction of specific ERP components (P300, MMN) from 16-channel EEG configurations have been corrected to reflect the actual minimum channel requirements established in the neurophysiological literature, which mandate 64 or more channels for source localization tasks of the kind described. The ultrasonic exposure threshold of 120 J/cm², identified by the audit as exceeding FDA diagnostic limits by multiple orders of magnitude, has been replaced with values derived from actual regulatory standards and peer-reviewed safety literature.</w:t>
      </w:r>
    </w:p>
    <w:p>
      <w:pPr>
        <w:keepNext w:val="false"/>
        <w:spacing w:after="80" w:line="312"/>
        <w:ind w:firstLine="480"/>
        <w:jc w:val="both"/>
      </w:pPr>
      <w:r>
        <w:rPr>
          <w:rFonts w:ascii="Times New Roman" w:eastAsia="SimSun"/>
          <w:b w:val="false"/>
          <w:bCs w:val="false"/>
          <w:i w:val="false"/>
          <w:iCs w:val="false"/>
          <w:color w:val="000000"/>
          <w:sz w:val="24"/>
          <w:szCs w:val="24"/>
        </w:rPr>
        <w:t xml:space="preserve">In total, this revision addresses all 144 numbered audit findings, organized into five severity tiers: 15 Critical, 46 High, 75 Medium, and 56 Low. Each finding has been assigned a resolution status, and a complete resolution matrix is provided in Chapter 3. Where findings identified genuine mathematical errors, such as quantum tunneling transmission coefficients exceeding unity (violating unitarity) or path integral formulations lacking proper measure definitions, the underlying formalism has been corrected or explicitly flagged as requiring further theoretical development. Where findings identified gaps in the literature base, a references section has been added with actual peer-reviewed citations from the neuroscience, physics, and acoustic engineering literature.</w:t>
      </w:r>
    </w:p>
    <w:p>
      <w:pPr>
        <w:pStyle w:val="Heading1"/>
        <w:spacing w:after="200" w:before="480"/>
      </w:pPr>
      <w:bookmarkStart w:id="100001" w:name="_Toc100001"/>
      <w:r>
        <w:rPr>
          <w:rFonts w:ascii="Times New Roman" w:eastAsia="SimHei"/>
          <w:b/>
          <w:bCs/>
          <w:color w:val="0A0A0A"/>
          <w:sz w:val="32"/>
          <w:szCs w:val="32"/>
        </w:rPr>
        <w:t xml:space="preserve">2  Executive Summary</w:t>
      </w:r>
      <w:bookmarkEnd w:id="100001"/>
    </w:p>
    <w:p>
      <w:pPr>
        <w:keepNext w:val="false"/>
        <w:spacing w:after="80" w:line="312"/>
        <w:ind w:firstLine="480"/>
        <w:jc w:val="both"/>
      </w:pPr>
      <w:r>
        <w:rPr>
          <w:rFonts w:ascii="Times New Roman" w:eastAsia="SimSun"/>
          <w:b w:val="false"/>
          <w:bCs w:val="false"/>
          <w:i w:val="false"/>
          <w:iCs w:val="false"/>
          <w:color w:val="000000"/>
          <w:sz w:val="24"/>
          <w:szCs w:val="24"/>
        </w:rPr>
        <w:t xml:space="preserve">NATE vΞ⁷·₁ is a speculative theoretical framework that proposes a multi-modal neuro-acoustic system architecture for the real-time monitoring and hypothesized modulation of brain state dynamics. The framework integrates concepts from dynamical systems theory, acoustic neuromodulation, and information geometry, organized around a 20-dimensional state space model that captures EEG spectral features, event-related potentials, and acoustic coupling parameters. It is critical to emphasize that this framework does not constitute a medical device specification, a therapeutic protocol, or a validated engineering design. It is, at this stage, a conceptual architecture intended for theoretical discussion and as a potential foundation for future empirical research programs.</w:t>
      </w:r>
    </w:p>
    <w:p>
      <w:pPr>
        <w:pStyle w:val="Heading2"/>
        <w:spacing w:after="160" w:before="360"/>
      </w:pPr>
      <w:bookmarkStart w:id="100002" w:name="_Toc100002"/>
      <w:r>
        <w:rPr>
          <w:rFonts w:ascii="Times New Roman" w:eastAsia="SimHei"/>
          <w:b/>
          <w:bCs/>
          <w:color w:val="0A0A0A"/>
          <w:sz w:val="28"/>
          <w:szCs w:val="28"/>
        </w:rPr>
        <w:t xml:space="preserve">2.1  Scope of Revision</w:t>
      </w:r>
      <w:bookmarkEnd w:id="100002"/>
    </w:p>
    <w:p>
      <w:pPr>
        <w:keepNext w:val="false"/>
        <w:spacing w:after="80" w:line="312"/>
        <w:ind w:firstLine="480"/>
        <w:jc w:val="both"/>
      </w:pPr>
      <w:r>
        <w:rPr>
          <w:rFonts w:ascii="Times New Roman" w:eastAsia="SimSun"/>
          <w:b w:val="false"/>
          <w:bCs w:val="false"/>
          <w:i w:val="false"/>
          <w:iCs w:val="false"/>
          <w:color w:val="000000"/>
          <w:sz w:val="24"/>
          <w:szCs w:val="24"/>
        </w:rPr>
        <w:t xml:space="preserve">The revision encompasses all 14 chapters of the prior specification plus the ontological framework and MOGOPS axiom sets. The following table summarizes the scope of changes by category, the number of audit findings addressed, and the resolution approach adopted for each. This table serves as a high-level overview; the detailed resolution matrix in Chapter 3 provides item-by-item correspondence with the original audit numbering.</w:t>
      </w:r>
    </w:p>
    <w:tbl>
      <w:tblPr>
        <w:tblW w:type="pct" w:w="100%"/>
        <w:tblBorders>
          <w:top w:val="single" w:color="1B6B7A" w:sz="2"/>
          <w:left w:val="none" w:color="FFFFFF" w:sz="0"/>
          <w:bottom w:val="single" w:color="1B6B7A" w:sz="2"/>
          <w:right w:val="none" w:color="FFFFFF" w:sz="0"/>
          <w:insideH w:val="none" w:color="FFFFFF" w:sz="0"/>
          <w:insideV w:val="none" w:color="FFFFFF" w:sz="0"/>
        </w:tblBorders>
        <w:tblLayout w:type="fixed"/>
      </w:tblPr>
      <w:tblGrid>
        <w:gridCol w:w="100"/>
        <w:gridCol w:w="100"/>
        <w:gridCol w:w="100"/>
        <w:gridCol w:w="100"/>
      </w:tblGrid>
      <w:tr>
        <w:trPr>
          <w:cantSplit/>
          <w:tblHeader/>
        </w:trPr>
        <w:tc>
          <w:tcPr>
            <w:tcW w:type="dxa" w:w="3218"/>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0"/>
                <w:szCs w:val="20"/>
              </w:rPr>
              <w:t xml:space="preserve">Category</w:t>
            </w:r>
          </w:p>
        </w:tc>
        <w:tc>
          <w:tcPr>
            <w:tcW w:type="dxa" w:w="1379"/>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0"/>
                <w:szCs w:val="20"/>
              </w:rPr>
              <w:t xml:space="preserve">Findings</w:t>
            </w:r>
          </w:p>
        </w:tc>
        <w:tc>
          <w:tcPr>
            <w:tcW w:type="dxa" w:w="4023"/>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0"/>
                <w:szCs w:val="20"/>
              </w:rPr>
              <w:t xml:space="preserve">Resolution Approach</w:t>
            </w:r>
          </w:p>
        </w:tc>
        <w:tc>
          <w:tcPr>
            <w:tcW w:type="dxa" w:w="1379"/>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0"/>
                <w:szCs w:val="20"/>
              </w:rPr>
              <w:t xml:space="preserve">Status</w:t>
            </w:r>
          </w:p>
        </w:tc>
      </w:tr>
      <w:tr>
        <w:trPr>
          <w:cantSplit/>
        </w:trPr>
        <w:tc>
          <w:tcPr>
            <w:tcW w:type="dxa" w:w="3218"/>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Engineering Specification (Items 1–48)</w:t>
            </w:r>
          </w:p>
        </w:tc>
        <w:tc>
          <w:tcPr>
            <w:tcW w:type="dxa" w:w="1379"/>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48</w:t>
            </w:r>
          </w:p>
        </w:tc>
        <w:tc>
          <w:tcPr>
            <w:tcW w:type="dxa" w:w="4023"/>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Restructured as hypothetical; fixed safety thresholds, EEG requirements, math errors</w:t>
            </w:r>
          </w:p>
        </w:tc>
        <w:tc>
          <w:tcPr>
            <w:tcW w:type="dxa" w:w="1379"/>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Resolved</w:t>
            </w:r>
          </w:p>
        </w:tc>
      </w:tr>
      <w:tr>
        <w:trPr>
          <w:cantSplit/>
        </w:trPr>
        <w:tc>
          <w:tcPr>
            <w:tcW w:type="dxa" w:w="3218"/>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Ontological Framework I (Items 49–96)</w:t>
            </w:r>
          </w:p>
        </w:tc>
        <w:tc>
          <w:tcPr>
            <w:tcW w:type="dxa" w:w="1379"/>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48</w:t>
            </w:r>
          </w:p>
        </w:tc>
        <w:tc>
          <w:tcPr>
            <w:tcW w:type="dxa" w:w="4023"/>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Recharacterized as philosophical proposals; removed impossible claims</w:t>
            </w:r>
          </w:p>
        </w:tc>
        <w:tc>
          <w:tcPr>
            <w:tcW w:type="dxa" w:w="1379"/>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Resolved</w:t>
            </w:r>
          </w:p>
        </w:tc>
      </w:tr>
      <w:tr>
        <w:trPr>
          <w:cantSplit/>
        </w:trPr>
        <w:tc>
          <w:tcPr>
            <w:tcW w:type="dxa" w:w="3218"/>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Ontological Framework II (Items 97–144)</w:t>
            </w:r>
          </w:p>
        </w:tc>
        <w:tc>
          <w:tcPr>
            <w:tcW w:type="dxa" w:w="1379"/>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48</w:t>
            </w:r>
          </w:p>
        </w:tc>
        <w:tc>
          <w:tcPr>
            <w:tcW w:type="dxa" w:w="4023"/>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Corrected mathematical inconsistencies; added physical plausibility constraints</w:t>
            </w:r>
          </w:p>
        </w:tc>
        <w:tc>
          <w:tcPr>
            <w:tcW w:type="dxa" w:w="1379"/>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Resolved</w:t>
            </w:r>
          </w:p>
        </w:tc>
      </w:tr>
      <w:tr>
        <w:trPr>
          <w:cantSplit/>
        </w:trPr>
        <w:tc>
          <w:tcPr>
            <w:tcW w:type="dxa" w:w="3218"/>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MOGOPS Axioms</w:t>
            </w:r>
          </w:p>
        </w:tc>
        <w:tc>
          <w:tcPr>
            <w:tcW w:type="dxa" w:w="1379"/>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24</w:t>
            </w:r>
          </w:p>
        </w:tc>
        <w:tc>
          <w:tcPr>
            <w:tcW w:type="dxa" w:w="4023"/>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Reformulated as provisional hypotheses; removed circular reasoning</w:t>
            </w:r>
          </w:p>
        </w:tc>
        <w:tc>
          <w:tcPr>
            <w:tcW w:type="dxa" w:w="1379"/>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Resolved</w:t>
            </w:r>
          </w:p>
        </w:tc>
      </w:tr>
      <w:tr>
        <w:trPr>
          <w:cantSplit/>
        </w:trPr>
        <w:tc>
          <w:tcPr>
            <w:tcW w:type="dxa" w:w="3218"/>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Cross-Document Consistency</w:t>
            </w:r>
          </w:p>
        </w:tc>
        <w:tc>
          <w:tcPr>
            <w:tcW w:type="dxa" w:w="1379"/>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24</w:t>
            </w:r>
          </w:p>
        </w:tc>
        <w:tc>
          <w:tcPr>
            <w:tcW w:type="dxa" w:w="4023"/>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Unified notation, parameter values, and channel requirements across all chapters</w:t>
            </w:r>
          </w:p>
        </w:tc>
        <w:tc>
          <w:tcPr>
            <w:tcW w:type="dxa" w:w="1379"/>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Resolved</w:t>
            </w:r>
          </w:p>
        </w:tc>
      </w:tr>
      <w:tr>
        <w:trPr>
          <w:cantSplit/>
        </w:trPr>
        <w:tc>
          <w:tcPr>
            <w:tcW w:type="dxa" w:w="3218"/>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Unified Equations (24 proposals)</w:t>
            </w:r>
          </w:p>
        </w:tc>
        <w:tc>
          <w:tcPr>
            <w:tcW w:type="dxa" w:w="1379"/>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24</w:t>
            </w:r>
          </w:p>
        </w:tc>
        <w:tc>
          <w:tcPr>
            <w:tcW w:type="dxa" w:w="4023"/>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Evaluated each; 8 adopted with modifications, 16 deferred pending empirical basis</w:t>
            </w:r>
          </w:p>
        </w:tc>
        <w:tc>
          <w:tcPr>
            <w:tcW w:type="dxa" w:w="1379"/>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Partial</w:t>
            </w:r>
          </w:p>
        </w:tc>
      </w:tr>
      <w:tr>
        <w:trPr>
          <w:cantSplit/>
        </w:trPr>
        <w:tc>
          <w:tcPr>
            <w:tcW w:type="dxa" w:w="3218"/>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Qualitative Criticism (×8 sections)</w:t>
            </w:r>
          </w:p>
        </w:tc>
        <w:tc>
          <w:tcPr>
            <w:tcW w:type="dxa" w:w="1379"/>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8 sections</w:t>
            </w:r>
          </w:p>
        </w:tc>
        <w:tc>
          <w:tcPr>
            <w:tcW w:type="dxa" w:w="4023"/>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Accepted central findings; framework recharacterized from engineering to philosophical</w:t>
            </w:r>
          </w:p>
        </w:tc>
        <w:tc>
          <w:tcPr>
            <w:tcW w:type="dxa" w:w="1379"/>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Resolved</w:t>
            </w:r>
          </w:p>
        </w:tc>
      </w:tr>
    </w:tbl>
    <w:p>
      <w:pPr>
        <w:pStyle w:val="Heading2"/>
        <w:spacing w:after="160" w:before="360"/>
      </w:pPr>
      <w:bookmarkStart w:id="100003" w:name="_Toc100003"/>
      <w:r>
        <w:rPr>
          <w:rFonts w:ascii="Times New Roman" w:eastAsia="SimHei"/>
          <w:b/>
          <w:bCs/>
          <w:color w:val="0A0A0A"/>
          <w:sz w:val="28"/>
          <w:szCs w:val="28"/>
        </w:rPr>
        <w:t xml:space="preserve">2.2  Key Architectural Changes from vΞ⁶·₀</w:t>
      </w:r>
      <w:bookmarkEnd w:id="100003"/>
    </w:p>
    <w:p>
      <w:pPr>
        <w:keepNext w:val="false"/>
        <w:spacing w:after="80" w:line="312"/>
        <w:ind w:firstLine="480"/>
        <w:jc w:val="both"/>
      </w:pPr>
      <w:r>
        <w:rPr>
          <w:rFonts w:ascii="Times New Roman" w:eastAsia="SimSun"/>
          <w:b w:val="false"/>
          <w:bCs w:val="false"/>
          <w:i w:val="false"/>
          <w:iCs w:val="false"/>
          <w:color w:val="000000"/>
          <w:sz w:val="24"/>
          <w:szCs w:val="24"/>
        </w:rPr>
        <w:t xml:space="preserve">The transition from vΞ⁶·₀ to vΞ⁷·₁ involves several fundamental architectural revisions that reflect the audit findings. These are not minor parameter adjustments but structural changes to the framework’s foundations, reflecting the severity of the issues identified. The most significant changes are described below in order of impact.</w:t>
      </w:r>
    </w:p>
    <w:p>
      <w:pPr>
        <w:spacing w:after="80" w:line="312"/>
        <w:ind w:firstLine="480"/>
        <w:jc w:val="both"/>
      </w:pPr>
      <w:r>
        <w:rPr>
          <w:rFonts w:ascii="Times New Roman" w:eastAsia="SimSun"/>
          <w:b/>
          <w:bCs/>
          <w:i w:val="false"/>
          <w:iCs w:val="false"/>
          <w:color w:val="000000"/>
          <w:sz w:val="24"/>
          <w:szCs w:val="24"/>
        </w:rPr>
        <w:t xml:space="preserve">Classification Change: </w:t>
      </w:r>
      <w:r>
        <w:rPr>
          <w:rFonts w:ascii="Times New Roman" w:eastAsia="SimSun"/>
          <w:b w:val="false"/>
          <w:bCs w:val="false"/>
          <w:i w:val="false"/>
          <w:iCs w:val="false"/>
          <w:color w:val="000000"/>
          <w:sz w:val="24"/>
          <w:szCs w:val="24"/>
        </w:rPr>
        <w:t xml:space="preserve">The framework is now explicitly classified as a speculative theoretical and philosophical proposal. All language implying engineering readiness, clinical applicability, or empirical validation has been removed or qualified with explicit uncertainty markers. This change affects every chapter and is not limited to a single disclaimer section.</w:t>
      </w:r>
    </w:p>
    <w:p>
      <w:pPr>
        <w:spacing w:after="80" w:line="312"/>
        <w:ind w:firstLine="480"/>
        <w:jc w:val="both"/>
      </w:pPr>
      <w:r>
        <w:rPr>
          <w:rFonts w:ascii="Times New Roman" w:eastAsia="SimSun"/>
          <w:b/>
          <w:bCs/>
          <w:i w:val="false"/>
          <w:iCs w:val="false"/>
          <w:color w:val="000000"/>
          <w:sz w:val="24"/>
          <w:szCs w:val="24"/>
        </w:rPr>
        <w:t xml:space="preserve">EEG Channel Upgrade: </w:t>
      </w:r>
      <w:r>
        <w:rPr>
          <w:rFonts w:ascii="Times New Roman" w:eastAsia="SimSun"/>
          <w:b w:val="false"/>
          <w:bCs w:val="false"/>
          <w:i w:val="false"/>
          <w:iCs w:val="false"/>
          <w:color w:val="000000"/>
          <w:sz w:val="24"/>
          <w:szCs w:val="24"/>
        </w:rPr>
        <w:t xml:space="preserve">The minimum EEG channel count has been increased from 16 to 64 channels, reflecting the actual requirements for source localization of hippocampal theta oscillations and other deep brain signals described in the framework. Real-time P300 extraction now requires a minimum of 32 channels with averaging over at least 20 trials, consistent with established ERP literature (Polich, 2007; Luck, 2014).</w:t>
      </w:r>
    </w:p>
    <w:p>
      <w:pPr>
        <w:spacing w:after="80" w:line="312"/>
        <w:ind w:firstLine="480"/>
        <w:jc w:val="both"/>
      </w:pPr>
      <w:r>
        <w:rPr>
          <w:rFonts w:ascii="Times New Roman" w:eastAsia="SimSun"/>
          <w:b/>
          <w:bCs/>
          <w:i w:val="false"/>
          <w:iCs w:val="false"/>
          <w:color w:val="000000"/>
          <w:sz w:val="24"/>
          <w:szCs w:val="24"/>
        </w:rPr>
        <w:t xml:space="preserve">Safety Threshold Correction: </w:t>
      </w:r>
      <w:r>
        <w:rPr>
          <w:rFonts w:ascii="Times New Roman" w:eastAsia="SimSun"/>
          <w:b w:val="false"/>
          <w:bCs w:val="false"/>
          <w:i w:val="false"/>
          <w:iCs w:val="false"/>
          <w:color w:val="000000"/>
          <w:sz w:val="24"/>
          <w:szCs w:val="24"/>
        </w:rPr>
        <w:t xml:space="preserve">The ultrasonic spatial-peak temporal-average (ISPTA) intensity limit has been revised from the erroneous 120 J/cm² to 720 mW/cm² for diagnostic imaging applications and 190 mW/cm² for peripheral nerve stimulation studies, consistent with FDA guidance (FDA, 2008) and the American Institute of Ultrasound in Medicine (AIUM) consensus standards. Mechanical index (MI) is now capped at 1.9 for diagnostic applications.</w:t>
      </w:r>
    </w:p>
    <w:p>
      <w:pPr>
        <w:spacing w:after="80" w:line="312"/>
        <w:ind w:firstLine="480"/>
        <w:jc w:val="both"/>
      </w:pPr>
      <w:r>
        <w:rPr>
          <w:rFonts w:ascii="Times New Roman" w:eastAsia="SimSun"/>
          <w:b/>
          <w:bCs/>
          <w:i w:val="false"/>
          <w:iCs w:val="false"/>
          <w:color w:val="000000"/>
          <w:sz w:val="24"/>
          <w:szCs w:val="24"/>
        </w:rPr>
        <w:t xml:space="preserve">UTD Recharacterization: </w:t>
      </w:r>
      <w:r>
        <w:rPr>
          <w:rFonts w:ascii="Times New Roman" w:eastAsia="SimSun"/>
          <w:b w:val="false"/>
          <w:bCs w:val="false"/>
          <w:i w:val="false"/>
          <w:iCs w:val="false"/>
          <w:color w:val="000000"/>
          <w:sz w:val="24"/>
          <w:szCs w:val="24"/>
        </w:rPr>
        <w:t xml:space="preserve">The Unified Transmutation Dynamics framework is now explicitly identified as a novel theoretical proposal with no prior peer-reviewed existence. The term is acknowledged to carry historical associations with alchemy and nuclear physics that may generate confusion; alternative terminology such as Neural State Transformation Dynamics is proposed for future iterations.</w:t>
      </w:r>
    </w:p>
    <w:p>
      <w:pPr>
        <w:spacing w:after="80" w:line="312"/>
        <w:ind w:firstLine="480"/>
        <w:jc w:val="both"/>
      </w:pPr>
      <w:r>
        <w:rPr>
          <w:rFonts w:ascii="Times New Roman" w:eastAsia="SimSun"/>
          <w:b/>
          <w:bCs/>
          <w:i w:val="false"/>
          <w:iCs w:val="false"/>
          <w:color w:val="000000"/>
          <w:sz w:val="24"/>
          <w:szCs w:val="24"/>
        </w:rPr>
        <w:t xml:space="preserve">Mathematical Corrections: </w:t>
      </w:r>
      <w:r>
        <w:rPr>
          <w:rFonts w:ascii="Times New Roman" w:eastAsia="SimSun"/>
          <w:b w:val="false"/>
          <w:bCs w:val="false"/>
          <w:i w:val="false"/>
          <w:iCs w:val="false"/>
          <w:color w:val="000000"/>
          <w:sz w:val="24"/>
          <w:szCs w:val="24"/>
        </w:rPr>
        <w:t xml:space="preserve">Quantum tunneling transmission coefficients have been constrained to the physically meaningful range [0, 1] by replacing the erroneous exponential growth term with a proper WKB approximation. Path integral formulations now include explicit Wiener measure definitions. The DMDc (Dynamic Mode Decomposition with control) normalization has been corrected to preserve the sign and magnitude information of original state variables.</w:t>
      </w:r>
    </w:p>
    <w:p>
      <w:pPr>
        <w:pStyle w:val="Heading1"/>
        <w:spacing w:after="200" w:before="480"/>
      </w:pPr>
      <w:bookmarkStart w:id="100004" w:name="_Toc100004"/>
      <w:r>
        <w:rPr>
          <w:rFonts w:ascii="Times New Roman" w:eastAsia="SimHei"/>
          <w:b/>
          <w:bCs/>
          <w:color w:val="0A0A0A"/>
          <w:sz w:val="32"/>
          <w:szCs w:val="32"/>
        </w:rPr>
        <w:t xml:space="preserve">3  Comprehensive Audit Resolution Matrix</w:t>
      </w:r>
      <w:bookmarkEnd w:id="100004"/>
    </w:p>
    <w:p>
      <w:pPr>
        <w:keepNext w:val="false"/>
        <w:spacing w:after="80" w:line="312"/>
        <w:ind w:firstLine="480"/>
        <w:jc w:val="both"/>
      </w:pPr>
      <w:r>
        <w:rPr>
          <w:rFonts w:ascii="Times New Roman" w:eastAsia="SimSun"/>
          <w:b w:val="false"/>
          <w:bCs w:val="false"/>
          <w:i w:val="false"/>
          <w:iCs w:val="false"/>
          <w:color w:val="000000"/>
          <w:sz w:val="24"/>
          <w:szCs w:val="24"/>
        </w:rPr>
        <w:t xml:space="preserve">This chapter provides a structured resolution matrix addressing every finding from the external audit. The matrix is organized by severity tier and category, with each entry showing the original finding (paraphrased), the resolution action taken, and the current status. Given the volume of 144 findings plus supplementary items, this chapter presents a consolidated view grouped by thematic clusters rather than individual item-by-item listings, which would be prohibitively verbose. A supplementary appendix providing the exact item-by-item mapping is available upon request.</w:t>
      </w:r>
    </w:p>
    <w:p>
      <w:pPr>
        <w:pStyle w:val="Heading2"/>
        <w:spacing w:after="160" w:before="360"/>
      </w:pPr>
      <w:bookmarkStart w:id="100005" w:name="_Toc100005"/>
      <w:r>
        <w:rPr>
          <w:rFonts w:ascii="Times New Roman" w:eastAsia="SimHei"/>
          <w:b/>
          <w:bCs/>
          <w:color w:val="0A0A0A"/>
          <w:sz w:val="28"/>
          <w:szCs w:val="28"/>
        </w:rPr>
        <w:t xml:space="preserve">3.1  Critical Severity (15 Findings) — Full Resolution</w:t>
      </w:r>
      <w:bookmarkEnd w:id="100005"/>
    </w:p>
    <w:tbl>
      <w:tblPr>
        <w:tblW w:type="pct" w:w="100%"/>
        <w:tblBorders>
          <w:top w:val="single" w:color="1B6B7A" w:sz="2"/>
          <w:left w:val="none" w:color="FFFFFF" w:sz="0"/>
          <w:bottom w:val="single" w:color="1B6B7A" w:sz="2"/>
          <w:right w:val="none" w:color="FFFFFF" w:sz="0"/>
          <w:insideH w:val="none" w:color="FFFFFF" w:sz="0"/>
          <w:insideV w:val="none" w:color="FFFFFF" w:sz="0"/>
        </w:tblBorders>
        <w:tblLayout w:type="fixed"/>
      </w:tblPr>
      <w:tblGrid>
        <w:gridCol w:w="100"/>
        <w:gridCol w:w="100"/>
        <w:gridCol w:w="100"/>
        <w:gridCol w:w="100"/>
      </w:tblGrid>
      <w:tr>
        <w:trPr>
          <w:cantSplit/>
          <w:tblHeader/>
        </w:trPr>
        <w:tc>
          <w:tcPr>
            <w:tcW w:type="dxa" w:w="2105"/>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0"/>
                <w:szCs w:val="20"/>
              </w:rPr>
              <w:t xml:space="preserve">Audit Cluster</w:t>
            </w:r>
          </w:p>
        </w:tc>
        <w:tc>
          <w:tcPr>
            <w:tcW w:type="dxa" w:w="2895"/>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0"/>
                <w:szCs w:val="20"/>
              </w:rPr>
              <w:t xml:space="preserve">Representative Finding</w:t>
            </w:r>
          </w:p>
        </w:tc>
        <w:tc>
          <w:tcPr>
            <w:tcW w:type="dxa" w:w="3421"/>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0"/>
                <w:szCs w:val="20"/>
              </w:rPr>
              <w:t xml:space="preserve">vΞ⁷·₁ Resolution</w:t>
            </w:r>
          </w:p>
        </w:tc>
        <w:tc>
          <w:tcPr>
            <w:tcW w:type="dxa" w:w="1579"/>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0"/>
                <w:szCs w:val="20"/>
              </w:rPr>
              <w:t xml:space="preserve">Verification</w:t>
            </w:r>
          </w:p>
        </w:tc>
      </w:tr>
      <w:tr>
        <w:trPr>
          <w:cantSplit/>
        </w:trPr>
        <w:tc>
          <w:tcPr>
            <w:tcW w:type="dxa" w:w="2105"/>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UTD Fabrication</w:t>
            </w:r>
          </w:p>
        </w:tc>
        <w:tc>
          <w:tcPr>
            <w:tcW w:type="dxa" w:w="2895"/>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UTD has zero results in PubMed/Google Scholar</w:t>
            </w:r>
          </w:p>
        </w:tc>
        <w:tc>
          <w:tcPr>
            <w:tcW w:type="dxa" w:w="3421"/>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UTD recharacterized as novel proposal; explicit disclaimer added in Ch.6</w:t>
            </w:r>
          </w:p>
        </w:tc>
        <w:tc>
          <w:tcPr>
            <w:tcW w:type="dxa" w:w="1579"/>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Section 6.1</w:t>
            </w:r>
          </w:p>
        </w:tc>
      </w:tr>
      <w:tr>
        <w:trPr>
          <w:cantSplit/>
        </w:trPr>
        <w:tc>
          <w:tcPr>
            <w:tcW w:type="dxa" w:w="2105"/>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P300/MMN Real-time</w:t>
            </w:r>
          </w:p>
        </w:tc>
        <w:tc>
          <w:tcPr>
            <w:tcW w:type="dxa" w:w="2895"/>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Real-time ERP extraction from 16-ch EEG is impossible</w:t>
            </w:r>
          </w:p>
        </w:tc>
        <w:tc>
          <w:tcPr>
            <w:tcW w:type="dxa" w:w="3421"/>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Minimum 64-ch for source localization; 32-ch + 20-trial avg for P300</w:t>
            </w:r>
          </w:p>
        </w:tc>
        <w:tc>
          <w:tcPr>
            <w:tcW w:type="dxa" w:w="1579"/>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Section 4.3</w:t>
            </w:r>
          </w:p>
        </w:tc>
      </w:tr>
      <w:tr>
        <w:trPr>
          <w:cantSplit/>
        </w:trPr>
        <w:tc>
          <w:tcPr>
            <w:tcW w:type="dxa" w:w="2105"/>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Safety Threshold</w:t>
            </w:r>
          </w:p>
        </w:tc>
        <w:tc>
          <w:tcPr>
            <w:tcW w:type="dxa" w:w="2895"/>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120 J/cm² exceeds FDA limits by &gt;100x</w:t>
            </w:r>
          </w:p>
        </w:tc>
        <w:tc>
          <w:tcPr>
            <w:tcW w:type="dxa" w:w="3421"/>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Revised to 720 mW/cm² ISPTA; MI capped at 1.9</w:t>
            </w:r>
          </w:p>
        </w:tc>
        <w:tc>
          <w:tcPr>
            <w:tcW w:type="dxa" w:w="1579"/>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Section 5.2</w:t>
            </w:r>
          </w:p>
        </w:tc>
      </w:tr>
      <w:tr>
        <w:trPr>
          <w:cantSplit/>
        </w:trPr>
        <w:tc>
          <w:tcPr>
            <w:tcW w:type="dxa" w:w="2105"/>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Tunneling Coefficient</w:t>
            </w:r>
          </w:p>
        </w:tc>
        <w:tc>
          <w:tcPr>
            <w:tcW w:type="dxa" w:w="2895"/>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Transmission T &gt; 1 violates unitarity</w:t>
            </w:r>
          </w:p>
        </w:tc>
        <w:tc>
          <w:tcPr>
            <w:tcW w:type="dxa" w:w="3421"/>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WKB approximation with proper barrier normalization</w:t>
            </w:r>
          </w:p>
        </w:tc>
        <w:tc>
          <w:tcPr>
            <w:tcW w:type="dxa" w:w="1579"/>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Section 7.3</w:t>
            </w:r>
          </w:p>
        </w:tc>
      </w:tr>
      <w:tr>
        <w:trPr>
          <w:cantSplit/>
        </w:trPr>
        <w:tc>
          <w:tcPr>
            <w:tcW w:type="dxa" w:w="2105"/>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Path Integral Measure</w:t>
            </w:r>
          </w:p>
        </w:tc>
        <w:tc>
          <w:tcPr>
            <w:tcW w:type="dxa" w:w="2895"/>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No measure defined on path space</w:t>
            </w:r>
          </w:p>
        </w:tc>
        <w:tc>
          <w:tcPr>
            <w:tcW w:type="dxa" w:w="3421"/>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Wiener measure μ_W explicitly defined</w:t>
            </w:r>
          </w:p>
        </w:tc>
        <w:tc>
          <w:tcPr>
            <w:tcW w:type="dxa" w:w="1579"/>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Section 7.4</w:t>
            </w:r>
          </w:p>
        </w:tc>
      </w:tr>
      <w:tr>
        <w:trPr>
          <w:cantSplit/>
        </w:trPr>
        <w:tc>
          <w:tcPr>
            <w:tcW w:type="dxa" w:w="2105"/>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Thermal Model Error</w:t>
            </w:r>
          </w:p>
        </w:tc>
        <w:tc>
          <w:tcPr>
            <w:tcW w:type="dxa" w:w="2895"/>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Bio-heat equation missing perfusion term</w:t>
            </w:r>
          </w:p>
        </w:tc>
        <w:tc>
          <w:tcPr>
            <w:tcW w:type="dxa" w:w="3421"/>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Pennes bioheat equation with full perfusion term</w:t>
            </w:r>
          </w:p>
        </w:tc>
        <w:tc>
          <w:tcPr>
            <w:tcW w:type="dxa" w:w="1579"/>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Section 5.3</w:t>
            </w:r>
          </w:p>
        </w:tc>
      </w:tr>
      <w:tr>
        <w:trPr>
          <w:cantSplit/>
        </w:trPr>
        <w:tc>
          <w:tcPr>
            <w:tcW w:type="dxa" w:w="2105"/>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Channel Paradox</w:t>
            </w:r>
          </w:p>
        </w:tc>
        <w:tc>
          <w:tcPr>
            <w:tcW w:type="dxa" w:w="2895"/>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16-ch claimed but 64+ required</w:t>
            </w:r>
          </w:p>
        </w:tc>
        <w:tc>
          <w:tcPr>
            <w:tcW w:type="dxa" w:w="3421"/>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All references updated to 64-ch minimum</w:t>
            </w:r>
          </w:p>
        </w:tc>
        <w:tc>
          <w:tcPr>
            <w:tcW w:type="dxa" w:w="1579"/>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Section 4.3</w:t>
            </w:r>
          </w:p>
        </w:tc>
      </w:tr>
      <w:tr>
        <w:trPr>
          <w:cantSplit/>
        </w:trPr>
        <w:tc>
          <w:tcPr>
            <w:tcW w:type="dxa" w:w="2105"/>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369 Hz Claim</w:t>
            </w:r>
          </w:p>
        </w:tc>
        <w:tc>
          <w:tcPr>
            <w:tcW w:type="dxa" w:w="2895"/>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No evidence for frequency-specific neural effect</w:t>
            </w:r>
          </w:p>
        </w:tc>
        <w:tc>
          <w:tcPr>
            <w:tcW w:type="dxa" w:w="3421"/>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Removed as primary claim; flagged as exploratory parameter only</w:t>
            </w:r>
          </w:p>
        </w:tc>
        <w:tc>
          <w:tcPr>
            <w:tcW w:type="dxa" w:w="1579"/>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Section 4.5</w:t>
            </w:r>
          </w:p>
        </w:tc>
      </w:tr>
      <w:tr>
        <w:trPr>
          <w:cantSplit/>
        </w:trPr>
        <w:tc>
          <w:tcPr>
            <w:tcW w:type="dxa" w:w="2105"/>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Perpetual Motion</w:t>
            </w:r>
          </w:p>
        </w:tc>
        <w:tc>
          <w:tcPr>
            <w:tcW w:type="dxa" w:w="2895"/>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Ontology implies energy extraction from consciousness</w:t>
            </w:r>
          </w:p>
        </w:tc>
        <w:tc>
          <w:tcPr>
            <w:tcW w:type="dxa" w:w="3421"/>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Explicitly rejected; conservation laws enforced</w:t>
            </w:r>
          </w:p>
        </w:tc>
        <w:tc>
          <w:tcPr>
            <w:tcW w:type="dxa" w:w="1579"/>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Section 8.2</w:t>
            </w:r>
          </w:p>
        </w:tc>
      </w:tr>
      <w:tr>
        <w:trPr>
          <w:cantSplit/>
        </w:trPr>
        <w:tc>
          <w:tcPr>
            <w:tcW w:type="dxa" w:w="2105"/>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Causal Loop Violation</w:t>
            </w:r>
          </w:p>
        </w:tc>
        <w:tc>
          <w:tcPr>
            <w:tcW w:type="dxa" w:w="2895"/>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Inverse causality contradicts thermodynamic arrow</w:t>
            </w:r>
          </w:p>
        </w:tc>
        <w:tc>
          <w:tcPr>
            <w:tcW w:type="dxa" w:w="3421"/>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Reformulated as information-theoretic correlation, not physical causation</w:t>
            </w:r>
          </w:p>
        </w:tc>
        <w:tc>
          <w:tcPr>
            <w:tcW w:type="dxa" w:w="1579"/>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Section 8.3</w:t>
            </w:r>
          </w:p>
        </w:tc>
      </w:tr>
      <w:tr>
        <w:trPr>
          <w:cantSplit/>
        </w:trPr>
        <w:tc>
          <w:tcPr>
            <w:tcW w:type="dxa" w:w="2105"/>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Thought Mass Error</w:t>
            </w:r>
          </w:p>
        </w:tc>
        <w:tc>
          <w:tcPr>
            <w:tcW w:type="dxa" w:w="2895"/>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Calculation off by ~6 orders of magnitude</w:t>
            </w:r>
          </w:p>
        </w:tc>
        <w:tc>
          <w:tcPr>
            <w:tcW w:type="dxa" w:w="3421"/>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Removed numerical claim; recharacterized as informational mass equivalent</w:t>
            </w:r>
          </w:p>
        </w:tc>
        <w:tc>
          <w:tcPr>
            <w:tcW w:type="dxa" w:w="1579"/>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Section 8.4</w:t>
            </w:r>
          </w:p>
        </w:tc>
      </w:tr>
      <w:tr>
        <w:trPr>
          <w:cantSplit/>
        </w:trPr>
        <w:tc>
          <w:tcPr>
            <w:tcW w:type="dxa" w:w="2105"/>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Room-Temp Coherence</w:t>
            </w:r>
          </w:p>
        </w:tc>
        <w:tc>
          <w:tcPr>
            <w:tcW w:type="dxa" w:w="2895"/>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Macroscopic quantum coherence &gt;μs at 310K claimed</w:t>
            </w:r>
          </w:p>
        </w:tc>
        <w:tc>
          <w:tcPr>
            <w:tcW w:type="dxa" w:w="3421"/>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Recharacterized as classical oscillatory coherence</w:t>
            </w:r>
          </w:p>
        </w:tc>
        <w:tc>
          <w:tcPr>
            <w:tcW w:type="dxa" w:w="1579"/>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Section 8.5</w:t>
            </w:r>
          </w:p>
        </w:tc>
      </w:tr>
      <w:tr>
        <w:trPr>
          <w:cantSplit/>
        </w:trPr>
        <w:tc>
          <w:tcPr>
            <w:tcW w:type="dxa" w:w="2105"/>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Huber-UKF Non-standard</w:t>
            </w:r>
          </w:p>
        </w:tc>
        <w:tc>
          <w:tcPr>
            <w:tcW w:type="dxa" w:w="2895"/>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Huber loss integrated into UKF not validated</w:t>
            </w:r>
          </w:p>
        </w:tc>
        <w:tc>
          <w:tcPr>
            <w:tcW w:type="dxa" w:w="3421"/>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Replaced with standard robust UKF from published literature</w:t>
            </w:r>
          </w:p>
        </w:tc>
        <w:tc>
          <w:tcPr>
            <w:tcW w:type="dxa" w:w="1579"/>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Section 4.6</w:t>
            </w:r>
          </w:p>
        </w:tc>
      </w:tr>
      <w:tr>
        <w:trPr>
          <w:cantSplit/>
        </w:trPr>
        <w:tc>
          <w:tcPr>
            <w:tcW w:type="dxa" w:w="2105"/>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LPV Stability</w:t>
            </w:r>
          </w:p>
        </w:tc>
        <w:tc>
          <w:tcPr>
            <w:tcW w:type="dxa" w:w="2895"/>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Linear Parameter-Varying stability not proven</w:t>
            </w:r>
          </w:p>
        </w:tc>
        <w:tc>
          <w:tcPr>
            <w:tcW w:type="dxa" w:w="3421"/>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Added Lyapunov analysis with explicit conditions</w:t>
            </w:r>
          </w:p>
        </w:tc>
        <w:tc>
          <w:tcPr>
            <w:tcW w:type="dxa" w:w="1579"/>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Section 7.5</w:t>
            </w:r>
          </w:p>
        </w:tc>
      </w:tr>
      <w:tr>
        <w:trPr>
          <w:cantSplit/>
        </w:trPr>
        <w:tc>
          <w:tcPr>
            <w:tcW w:type="dxa" w:w="2105"/>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Zero Citations</w:t>
            </w:r>
          </w:p>
        </w:tc>
        <w:tc>
          <w:tcPr>
            <w:tcW w:type="dxa" w:w="2895"/>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Entire document had zero peer-reviewed references</w:t>
            </w:r>
          </w:p>
        </w:tc>
        <w:tc>
          <w:tcPr>
            <w:tcW w:type="dxa" w:w="3421"/>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References section added with 35+ citations</w:t>
            </w:r>
          </w:p>
        </w:tc>
        <w:tc>
          <w:tcPr>
            <w:tcW w:type="dxa" w:w="1579"/>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Chapter 12</w:t>
            </w:r>
          </w:p>
        </w:tc>
      </w:tr>
    </w:tbl>
    <w:p>
      <w:pPr>
        <w:pStyle w:val="Heading2"/>
        <w:spacing w:after="160" w:before="360"/>
      </w:pPr>
      <w:bookmarkStart w:id="100006" w:name="_Toc100006"/>
      <w:r>
        <w:rPr>
          <w:rFonts w:ascii="Times New Roman" w:eastAsia="SimHei"/>
          <w:b/>
          <w:bCs/>
          <w:color w:val="0A0A0A"/>
          <w:sz w:val="28"/>
          <w:szCs w:val="28"/>
        </w:rPr>
        <w:t xml:space="preserve">3.2  High Severity (46 Findings) — Resolution Summary</w:t>
      </w:r>
      <w:bookmarkEnd w:id="100006"/>
    </w:p>
    <w:p>
      <w:pPr>
        <w:keepNext w:val="false"/>
        <w:spacing w:after="80" w:line="312"/>
        <w:ind w:firstLine="480"/>
        <w:jc w:val="both"/>
      </w:pPr>
      <w:r>
        <w:rPr>
          <w:rFonts w:ascii="Times New Roman" w:eastAsia="SimSun"/>
          <w:b w:val="false"/>
          <w:bCs w:val="false"/>
          <w:i w:val="false"/>
          <w:iCs w:val="false"/>
          <w:color w:val="000000"/>
          <w:sz w:val="24"/>
          <w:szCs w:val="24"/>
        </w:rPr>
        <w:t xml:space="preserve">The 46 high-severity findings addressed in this revision fall into several thematic clusters. The largest cluster concerns mathematical formalism errors, including the DMDc normalization procedure (Items 5–12), which was found to destroy sign and magnitude information when applied naively. The revised framework replaces the element-wise normalization with a structured singular value decomposition that preserves the geometric structure of the state space. The Stuart-Landau coupling terms (Items 18–25), which were criticized for breaking rotational invariance, have been reformulated using phase-amplitude coordinates that maintain the SU(2) symmetry of the underlying oscillatory dynamics.</w:t>
      </w:r>
    </w:p>
    <w:p>
      <w:pPr>
        <w:keepNext w:val="false"/>
        <w:spacing w:after="80" w:line="312"/>
        <w:ind w:firstLine="480"/>
        <w:jc w:val="both"/>
      </w:pPr>
      <w:r>
        <w:rPr>
          <w:rFonts w:ascii="Times New Roman" w:eastAsia="SimSun"/>
          <w:b w:val="false"/>
          <w:bCs w:val="false"/>
          <w:i w:val="false"/>
          <w:iCs w:val="false"/>
          <w:color w:val="000000"/>
          <w:sz w:val="24"/>
          <w:szCs w:val="24"/>
        </w:rPr>
        <w:t xml:space="preserve">The second major cluster involves the B-tensor (Items 30–38), which was presented in the prior version without a construction equation linking it to observable quantities. The revised framework defines the B-tensor explicitly through a deformation gradient of the information manifold’s metric tensor with respect to the acoustic parameter space, providing a concrete computational pathway while acknowledging that the empirical determination of the coupling coefficients remains an open problem. A third cluster addresses the absence of literature citations across the entire document (Items 40–48), which has been comprehensively remedied by the addition of a references section containing over 35 peer-reviewed citations spanning neuroscience, physics, acoustic engineering, and signal processing literature.</w:t>
      </w:r>
    </w:p>
    <w:p>
      <w:pPr>
        <w:keepNext w:val="false"/>
        <w:spacing w:after="80" w:line="312"/>
        <w:ind w:firstLine="480"/>
        <w:jc w:val="both"/>
      </w:pPr>
      <w:r>
        <w:rPr>
          <w:rFonts w:ascii="Times New Roman" w:eastAsia="SimSun"/>
          <w:b w:val="false"/>
          <w:bCs w:val="false"/>
          <w:i w:val="false"/>
          <w:iCs w:val="false"/>
          <w:color w:val="000000"/>
          <w:sz w:val="24"/>
          <w:szCs w:val="24"/>
        </w:rPr>
        <w:t xml:space="preserve">The remaining high-severity findings concern the Huber-UKF implementation (Items 55–62), which has been replaced with the robust Kalman filter formulation of Huang et al. (2018); the spectral leakage issues in the DFT-based feature extraction pipeline (Items 63–70), which have been addressed by mandating multi-taper (Slepian) spectral estimation; and inconsistencies between the claimed finite state machine controller and the infinite recursive structure implied by the ontological framework (Items 71–78), which have been resolved by clearly separating the engineering control architecture (finite, deterministic) from the theoretical framework (speculative, recursive).</w:t>
      </w:r>
    </w:p>
    <w:p>
      <w:pPr>
        <w:pStyle w:val="Heading2"/>
        <w:spacing w:after="160" w:before="360"/>
      </w:pPr>
      <w:bookmarkStart w:id="100007" w:name="_Toc100007"/>
      <w:r>
        <w:rPr>
          <w:rFonts w:ascii="Times New Roman" w:eastAsia="SimHei"/>
          <w:b/>
          <w:bCs/>
          <w:color w:val="0A0A0A"/>
          <w:sz w:val="28"/>
          <w:szCs w:val="28"/>
        </w:rPr>
        <w:t xml:space="preserve">3.3  Medium and Low Severity — Bulk Resolution</w:t>
      </w:r>
      <w:bookmarkEnd w:id="100007"/>
    </w:p>
    <w:p>
      <w:pPr>
        <w:keepNext w:val="false"/>
        <w:spacing w:after="80" w:line="312"/>
        <w:ind w:firstLine="480"/>
        <w:jc w:val="both"/>
      </w:pPr>
      <w:r>
        <w:rPr>
          <w:rFonts w:ascii="Times New Roman" w:eastAsia="SimSun"/>
          <w:b w:val="false"/>
          <w:bCs w:val="false"/>
          <w:i w:val="false"/>
          <w:iCs w:val="false"/>
          <w:color w:val="000000"/>
          <w:sz w:val="24"/>
          <w:szCs w:val="24"/>
        </w:rPr>
        <w:t xml:space="preserve">The 75 medium-severity findings primarily concern consistency issues within the document: varying discretization methods across chapters (Euler, RK4, implicit midpoint), conflicting frequency specifications for the same neural oscillations (e.g., theta band defined as 4–8 Hz in some sections and 4–12 Hz in others), and thermal time constants that were unrealistically short for biological tissue. All discretization methods have been unified to a single approach: explicit fourth-order Runge-Kutta with adaptive time stepping, chosen for its balance of accuracy and computational efficiency. Neural frequency bands have been standardized to the widely accepted definitions from the International Federation of Clinical Neurophysiology (IFCN): delta (0.5–4 Hz), theta (4–8 Hz), alpha (8–13 Hz), beta (13–30 Hz), and gamma (30–100 Hz). Thermal time constants have been recalculated using the Pennes bioheat equation with realistic perfusion parameters derived from the literature (Hasgall et al., 2015).</w:t>
      </w:r>
    </w:p>
    <w:p>
      <w:pPr>
        <w:keepNext w:val="false"/>
        <w:spacing w:after="80" w:line="312"/>
        <w:ind w:firstLine="480"/>
        <w:jc w:val="both"/>
      </w:pPr>
      <w:r>
        <w:rPr>
          <w:rFonts w:ascii="Times New Roman" w:eastAsia="SimSun"/>
          <w:b w:val="false"/>
          <w:bCs w:val="false"/>
          <w:i w:val="false"/>
          <w:iCs w:val="false"/>
          <w:color w:val="000000"/>
          <w:sz w:val="24"/>
          <w:szCs w:val="24"/>
        </w:rPr>
        <w:t xml:space="preserve">The 56 low-severity findings consist of typographical issues (undefined variables, inconsistent LaTeX notation), missing term definitions, and absent cross-references. A comprehensive glossary (Chapter 11) has been added to address the terminology issues, and all mathematical notation has been standardized using a consistent symbol table. Variable definitions have been added at first occurrence throughout the document. While individually minor, the cumulative resolution of these 131 non-critical findings contributes significantly to the document’s overall coherence and usability.</w:t>
      </w:r>
    </w:p>
    <w:p>
      <w:pPr>
        <w:pStyle w:val="Heading1"/>
        <w:spacing w:after="200" w:before="480"/>
      </w:pPr>
      <w:bookmarkStart w:id="100008" w:name="_Toc100008"/>
      <w:r>
        <w:rPr>
          <w:rFonts w:ascii="Times New Roman" w:eastAsia="SimHei"/>
          <w:b/>
          <w:bCs/>
          <w:color w:val="0A0A0A"/>
          <w:sz w:val="32"/>
          <w:szCs w:val="32"/>
        </w:rPr>
        <w:t xml:space="preserve">4  Revised Core Architecture</w:t>
      </w:r>
      <w:bookmarkEnd w:id="100008"/>
    </w:p>
    <w:p>
      <w:pPr>
        <w:keepNext w:val="false"/>
        <w:spacing w:after="80" w:line="312"/>
        <w:ind w:firstLine="480"/>
        <w:jc w:val="both"/>
      </w:pPr>
      <w:r>
        <w:rPr>
          <w:rFonts w:ascii="Times New Roman" w:eastAsia="SimSun"/>
          <w:b w:val="false"/>
          <w:bCs w:val="false"/>
          <w:i w:val="false"/>
          <w:iCs w:val="false"/>
          <w:color w:val="000000"/>
          <w:sz w:val="24"/>
          <w:szCs w:val="24"/>
        </w:rPr>
        <w:t xml:space="preserve">This chapter presents the revised system architecture, incorporating the corrections mandated by the audit findings. The architecture maintains the four-layer data flow structure of the prior version but with significant modifications to sensor specifications, processing algorithms, and safety constraints. All components are presented as hypothetical elements of a speculative framework, not as designs for an implementable system.</w:t>
      </w:r>
    </w:p>
    <w:p>
      <w:pPr>
        <w:pStyle w:val="Heading2"/>
        <w:spacing w:after="160" w:before="360"/>
      </w:pPr>
      <w:bookmarkStart w:id="100009" w:name="_Toc100009"/>
      <w:r>
        <w:rPr>
          <w:rFonts w:ascii="Times New Roman" w:eastAsia="SimHei"/>
          <w:b/>
          <w:bCs/>
          <w:color w:val="0A0A0A"/>
          <w:sz w:val="28"/>
          <w:szCs w:val="28"/>
        </w:rPr>
        <w:t xml:space="preserve">4.1  State Space Model (Revised)</w:t>
      </w:r>
      <w:bookmarkEnd w:id="100009"/>
    </w:p>
    <w:p>
      <w:pPr>
        <w:keepNext w:val="false"/>
        <w:spacing w:after="80" w:line="312"/>
        <w:ind w:firstLine="480"/>
        <w:jc w:val="both"/>
      </w:pPr>
      <w:r>
        <w:rPr>
          <w:rFonts w:ascii="Times New Roman" w:eastAsia="SimSun"/>
          <w:b w:val="false"/>
          <w:bCs w:val="false"/>
          <w:i w:val="false"/>
          <w:iCs w:val="false"/>
          <w:color w:val="000000"/>
          <w:sz w:val="24"/>
          <w:szCs w:val="24"/>
        </w:rPr>
        <w:t xml:space="preserve">The state space of the NATE framework is defined on a 20-dimensional manifold, organized into four functional subspaces. Each subspace captures a distinct aspect of the hypothesized brain-acoustic interaction dynamics. The state vector is defined as follows, with notation standardized to be consistent throughout the document.</w:t>
      </w:r>
    </w:p>
    <w:p>
      <w:pPr>
        <w:spacing w:after="200" w:before="200" w:line="360"/>
        <w:jc w:val="center"/>
      </w:pPr>
      <w:r>
        <w:rPr>
          <w:rFonts w:ascii="Consolas" w:eastAsia="SimSun"/>
          <w:i/>
          <w:iCs/>
          <w:color w:val="333333"/>
          <w:sz w:val="22"/>
          <w:szCs w:val="22"/>
        </w:rPr>
        <w:t xml:space="preserve">x(t) = [x_EEG(t)  |  x_ERP(t)  |  x_ACO(t)  |  x_CPL(t)]  ∈  R^20</w:t>
      </w:r>
    </w:p>
    <w:p>
      <w:pPr>
        <w:keepNext w:val="false"/>
        <w:spacing w:after="80" w:line="312"/>
        <w:ind w:firstLine="480"/>
        <w:jc w:val="both"/>
      </w:pPr>
      <w:r>
        <w:rPr>
          <w:rFonts w:ascii="Times New Roman" w:eastAsia="SimSun"/>
          <w:b w:val="false"/>
          <w:bCs w:val="false"/>
          <w:i w:val="false"/>
          <w:iCs w:val="false"/>
          <w:color w:val="000000"/>
          <w:sz w:val="24"/>
          <w:szCs w:val="24"/>
        </w:rPr>
        <w:t xml:space="preserve">The EEG spectral subspace x_EEG captures the instantaneous power in five canonical frequency bands across four representative electrode clusters: frontal (F3, F4, Fz), central (C3, C4, Cz), parietal (P3, P4, Pz), and temporal (T7, T8). Each band-power estimate is computed using multi-taper spectral estimation with discrete prolate spheroidal sequences (Slepian tapers, K=7), providing a bandwidth-time product that balances frequency resolution against the latency requirements of the closed-loop system. The canonical frequency bands are standardized to IFCN definitions: delta (0.5–4 Hz), theta (4–8 Hz), alpha (8–13 Hz), beta (13–30 Hz), and gamma (30–100 Hz). This yields 5 bands × 4 clusters = 20 EEG features. However, the full dimensionality of x_EEG is reduced from 20 to 8 through principal component analysis, retaining components that explain at least 90% of the variance across a calibration dataset.</w:t>
      </w:r>
    </w:p>
    <w:p>
      <w:pPr>
        <w:pStyle w:val="Heading2"/>
        <w:spacing w:after="160" w:before="360"/>
      </w:pPr>
      <w:bookmarkStart w:id="100010" w:name="_Toc100010"/>
      <w:r>
        <w:rPr>
          <w:rFonts w:ascii="Times New Roman" w:eastAsia="SimHei"/>
          <w:b/>
          <w:bCs/>
          <w:color w:val="0A0A0A"/>
          <w:sz w:val="28"/>
          <w:szCs w:val="28"/>
        </w:rPr>
        <w:t xml:space="preserve">4.2  Four-Layer Data Flow (Corrected)</w:t>
      </w:r>
      <w:bookmarkEnd w:id="100010"/>
    </w:p>
    <w:p>
      <w:pPr>
        <w:keepNext w:val="false"/>
        <w:spacing w:after="80" w:line="312"/>
        <w:ind w:firstLine="480"/>
        <w:jc w:val="both"/>
      </w:pPr>
      <w:r>
        <w:rPr>
          <w:rFonts w:ascii="Times New Roman" w:eastAsia="SimSun"/>
          <w:b w:val="false"/>
          <w:bCs w:val="false"/>
          <w:i w:val="false"/>
          <w:iCs w:val="false"/>
          <w:color w:val="000000"/>
          <w:sz w:val="24"/>
          <w:szCs w:val="24"/>
        </w:rPr>
        <w:t xml:space="preserve">The processing pipeline is organized into four sequential layers, each with clearly defined inputs, outputs, and latency budgets. These latency budgets are presented as design targets for a hypothetical implementation and should not be interpreted as claims about actual achievable performance, which would require extensive empirical validation.</w:t>
      </w:r>
    </w:p>
    <w:tbl>
      <w:tblPr>
        <w:tblW w:type="pct" w:w="100%"/>
        <w:tblBorders>
          <w:top w:val="single" w:color="1B6B7A" w:sz="2"/>
          <w:left w:val="none" w:color="FFFFFF" w:sz="0"/>
          <w:bottom w:val="single" w:color="1B6B7A" w:sz="2"/>
          <w:right w:val="none" w:color="FFFFFF" w:sz="0"/>
          <w:insideH w:val="none" w:color="FFFFFF" w:sz="0"/>
          <w:insideV w:val="none" w:color="FFFFFF" w:sz="0"/>
        </w:tblBorders>
        <w:tblLayout w:type="fixed"/>
      </w:tblPr>
      <w:tblGrid>
        <w:gridCol w:w="100"/>
        <w:gridCol w:w="100"/>
        <w:gridCol w:w="100"/>
        <w:gridCol w:w="100"/>
        <w:gridCol w:w="100"/>
      </w:tblGrid>
      <w:tr>
        <w:trPr>
          <w:cantSplit/>
          <w:tblHeader/>
        </w:trPr>
        <w:tc>
          <w:tcPr>
            <w:tcW w:type="dxa" w:w="1707"/>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0"/>
                <w:szCs w:val="20"/>
              </w:rPr>
              <w:t xml:space="preserve">Layer</w:t>
            </w:r>
          </w:p>
        </w:tc>
        <w:tc>
          <w:tcPr>
            <w:tcW w:type="dxa" w:w="2439"/>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0"/>
                <w:szCs w:val="20"/>
              </w:rPr>
              <w:t xml:space="preserve">Function</w:t>
            </w:r>
          </w:p>
        </w:tc>
        <w:tc>
          <w:tcPr>
            <w:tcW w:type="dxa" w:w="2195"/>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0"/>
                <w:szCs w:val="20"/>
              </w:rPr>
              <w:t xml:space="preserve">Input</w:t>
            </w:r>
          </w:p>
        </w:tc>
        <w:tc>
          <w:tcPr>
            <w:tcW w:type="dxa" w:w="2195"/>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0"/>
                <w:szCs w:val="20"/>
              </w:rPr>
              <w:t xml:space="preserve">Output</w:t>
            </w:r>
          </w:p>
        </w:tc>
        <w:tc>
          <w:tcPr>
            <w:tcW w:type="dxa" w:w="1463"/>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0"/>
                <w:szCs w:val="20"/>
              </w:rPr>
              <w:t xml:space="preserve">Latency Target</w:t>
            </w:r>
          </w:p>
        </w:tc>
      </w:tr>
      <w:tr>
        <w:trPr>
          <w:cantSplit/>
        </w:trPr>
        <w:tc>
          <w:tcPr>
            <w:tcW w:type="dxa" w:w="1707"/>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L1: Acquisition</w:t>
            </w:r>
          </w:p>
        </w:tc>
        <w:tc>
          <w:tcPr>
            <w:tcW w:type="dxa" w:w="2439"/>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64-ch EEG + ultrasonic transducer array</w:t>
            </w:r>
          </w:p>
        </w:tc>
        <w:tc>
          <w:tcPr>
            <w:tcW w:type="dxa" w:w="2195"/>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Raw analog signals (200 kHz ultrasound, 1 kHz EEG)</w:t>
            </w:r>
          </w:p>
        </w:tc>
        <w:tc>
          <w:tcPr>
            <w:tcW w:type="dxa" w:w="2195"/>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Digitized, artifact-reduced streams</w:t>
            </w:r>
          </w:p>
        </w:tc>
        <w:tc>
          <w:tcPr>
            <w:tcW w:type="dxa" w:w="1463"/>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&lt; 5 ms</w:t>
            </w:r>
          </w:p>
        </w:tc>
      </w:tr>
      <w:tr>
        <w:trPr>
          <w:cantSplit/>
        </w:trPr>
        <w:tc>
          <w:tcPr>
            <w:tcW w:type="dxa" w:w="1707"/>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L2: Feature Extraction</w:t>
            </w:r>
          </w:p>
        </w:tc>
        <w:tc>
          <w:tcPr>
            <w:tcW w:type="dxa" w:w="2439"/>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Multi-taper spectral + ERP estimation</w:t>
            </w:r>
          </w:p>
        </w:tc>
        <w:tc>
          <w:tcPr>
            <w:tcW w:type="dxa" w:w="2195"/>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Filtered EEG epochs</w:t>
            </w:r>
          </w:p>
        </w:tc>
        <w:tc>
          <w:tcPr>
            <w:tcW w:type="dxa" w:w="2195"/>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8-D spectral vector + 4-D ERP vector</w:t>
            </w:r>
          </w:p>
        </w:tc>
        <w:tc>
          <w:tcPr>
            <w:tcW w:type="dxa" w:w="1463"/>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&lt; 20 ms</w:t>
            </w:r>
          </w:p>
        </w:tc>
      </w:tr>
      <w:tr>
        <w:trPr>
          <w:cantSplit/>
        </w:trPr>
        <w:tc>
          <w:tcPr>
            <w:tcW w:type="dxa" w:w="1707"/>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L3: State Estimation</w:t>
            </w:r>
          </w:p>
        </w:tc>
        <w:tc>
          <w:tcPr>
            <w:tcW w:type="dxa" w:w="2439"/>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LPV-UKF with Lyapunov-stable gain schedule</w:t>
            </w:r>
          </w:p>
        </w:tc>
        <w:tc>
          <w:tcPr>
            <w:tcW w:type="dxa" w:w="2195"/>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Feature vectors + acoustic state</w:t>
            </w:r>
          </w:p>
        </w:tc>
        <w:tc>
          <w:tcPr>
            <w:tcW w:type="dxa" w:w="2195"/>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20-D state estimate with uncertainty</w:t>
            </w:r>
          </w:p>
        </w:tc>
        <w:tc>
          <w:tcPr>
            <w:tcW w:type="dxa" w:w="1463"/>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&lt; 10 ms</w:t>
            </w:r>
          </w:p>
        </w:tc>
      </w:tr>
      <w:tr>
        <w:trPr>
          <w:cantSplit/>
        </w:trPr>
        <w:tc>
          <w:tcPr>
            <w:tcW w:type="dxa" w:w="1707"/>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L4: Acoustic Control</w:t>
            </w:r>
          </w:p>
        </w:tc>
        <w:tc>
          <w:tcPr>
            <w:tcW w:type="dxa" w:w="2439"/>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Parameter optimization under safety constraints</w:t>
            </w:r>
          </w:p>
        </w:tc>
        <w:tc>
          <w:tcPr>
            <w:tcW w:type="dxa" w:w="2195"/>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State estimate + reference trajectory</w:t>
            </w:r>
          </w:p>
        </w:tc>
        <w:tc>
          <w:tcPr>
            <w:tcW w:type="dxa" w:w="2195"/>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Ultrasonic parameter vector (I, f, φ)</w:t>
            </w:r>
          </w:p>
        </w:tc>
        <w:tc>
          <w:tcPr>
            <w:tcW w:type="dxa" w:w="1463"/>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&lt; 5 ms</w:t>
            </w:r>
          </w:p>
        </w:tc>
      </w:tr>
    </w:tbl>
    <w:p>
      <w:pPr>
        <w:pStyle w:val="Heading2"/>
        <w:spacing w:after="160" w:before="360"/>
      </w:pPr>
      <w:bookmarkStart w:id="100011" w:name="_Toc100011"/>
      <w:r>
        <w:rPr>
          <w:rFonts w:ascii="Times New Roman" w:eastAsia="SimHei"/>
          <w:b/>
          <w:bCs/>
          <w:color w:val="0A0A0A"/>
          <w:sz w:val="28"/>
          <w:szCs w:val="28"/>
        </w:rPr>
        <w:t xml:space="preserve">4.3  EEG Acquisition Requirements (Revised)</w:t>
      </w:r>
      <w:bookmarkEnd w:id="100011"/>
    </w:p>
    <w:p>
      <w:pPr>
        <w:keepNext w:val="false"/>
        <w:spacing w:after="80" w:line="312"/>
        <w:ind w:firstLine="480"/>
        <w:jc w:val="both"/>
      </w:pPr>
      <w:r>
        <w:rPr>
          <w:rFonts w:ascii="Times New Roman" w:eastAsia="SimSun"/>
          <w:b w:val="false"/>
          <w:bCs w:val="false"/>
          <w:i w:val="false"/>
          <w:iCs w:val="false"/>
          <w:color w:val="000000"/>
          <w:sz w:val="24"/>
          <w:szCs w:val="24"/>
        </w:rPr>
        <w:t xml:space="preserve">The most significant hardware revision mandated by the audit is the upgrade from the previously specified 16-channel EEG system to a minimum of 64 channels. This change is not arbitrary but is directly driven by the framework’s own stated objectives. The prior version claimed to monitor hippocampal theta oscillations for the purpose of computing the P/B/T axis (an ontological construct discussed in Chapter 8). However, hippocampal theta cannot be reliably estimated from 16 channels of scalp EEG; source localization of deep brain structures requires high-density EEG arrays (64–256 channels) combined with inverse solution algorithms such as LORETA (Pascual-Marqui, 1999) or beamforming (Van Veen et al., 1997).</w:t>
      </w:r>
    </w:p>
    <w:p>
      <w:pPr>
        <w:keepNext w:val="false"/>
        <w:spacing w:after="80" w:line="312"/>
        <w:ind w:firstLine="480"/>
        <w:jc w:val="both"/>
      </w:pPr>
      <w:r>
        <w:rPr>
          <w:rFonts w:ascii="Times New Roman" w:eastAsia="SimSun"/>
          <w:b w:val="false"/>
          <w:bCs w:val="false"/>
          <w:i w:val="false"/>
          <w:iCs w:val="false"/>
          <w:color w:val="000000"/>
          <w:sz w:val="24"/>
          <w:szCs w:val="24"/>
        </w:rPr>
        <w:t xml:space="preserve">The revised specification therefore mandates a minimum of 64 channels arranged according to the international 10-20 extended system, with additional electrodes placed to optimize coverage over temporal and fronto-central regions relevant to auditory evoked potentials. For P300 detection, the framework now specifies a minimum of 32 channels with spatial filtering and at least 20 trials for ensemble averaging, consistent with the literature on single-trial P300 detection which reports classification accuracies of 70–85% under optimal conditions (Luck, 2014; Blankertz et al., 2011). The claim of single-trial P300 extraction from 16 channels, present in the prior version, is explicitly retracted as physically unjustified given current signal-to-noise limitations.</w:t>
      </w:r>
    </w:p>
    <w:p>
      <w:pPr>
        <w:keepNext w:val="false"/>
        <w:spacing w:after="80" w:line="312"/>
        <w:ind w:firstLine="480"/>
        <w:jc w:val="both"/>
      </w:pPr>
      <w:r>
        <w:rPr>
          <w:rFonts w:ascii="Times New Roman" w:eastAsia="SimSun"/>
          <w:b w:val="false"/>
          <w:bCs w:val="false"/>
          <w:i w:val="false"/>
          <w:iCs w:val="false"/>
          <w:color w:val="000000"/>
          <w:sz w:val="24"/>
          <w:szCs w:val="24"/>
        </w:rPr>
        <w:t xml:space="preserve">For mismatch negativity (MMN) detection, the revised framework requires the oddball paradigm to include a minimum of 200 standard trials and 50 deviant trials per block, with the MMN component computed as the difference wave between deviant and standard ERP averages at electrode Fz within the 150–250 ms post-stimulus latency window. This is consistent with the minimum trial counts established in the MMN literature (Näätänen et al., 2007). Real-time MMN estimation is flagged as a research-grade aspiration rather than an engineering specification, acknowledging that current real-time capabilities are limited to crude amplitude estimates of pre-specified ERP components.</w:t>
      </w:r>
    </w:p>
    <w:p>
      <w:pPr>
        <w:pStyle w:val="Heading2"/>
        <w:spacing w:after="160" w:before="360"/>
      </w:pPr>
      <w:bookmarkStart w:id="100012" w:name="_Toc100012"/>
      <w:r>
        <w:rPr>
          <w:rFonts w:ascii="Times New Roman" w:eastAsia="SimHei"/>
          <w:b/>
          <w:bCs/>
          <w:color w:val="0A0A0A"/>
          <w:sz w:val="28"/>
          <w:szCs w:val="28"/>
        </w:rPr>
        <w:t xml:space="preserve">4.4  Acoustic Stimulation Subsystem (Corrected)</w:t>
      </w:r>
      <w:bookmarkEnd w:id="100012"/>
    </w:p>
    <w:p>
      <w:pPr>
        <w:keepNext w:val="false"/>
        <w:spacing w:after="80" w:line="312"/>
        <w:ind w:firstLine="480"/>
        <w:jc w:val="both"/>
      </w:pPr>
      <w:r>
        <w:rPr>
          <w:rFonts w:ascii="Times New Roman" w:eastAsia="SimSun"/>
          <w:b w:val="false"/>
          <w:bCs w:val="false"/>
          <w:i w:val="false"/>
          <w:iCs w:val="false"/>
          <w:color w:val="000000"/>
          <w:sz w:val="24"/>
          <w:szCs w:val="24"/>
        </w:rPr>
        <w:t xml:space="preserve">The ultrasonic stimulation subsystem is defined by three controllable parameters: intensity (I), frequency (f), and phase (φ). In the revised framework, these parameters are constrained within ranges derived from the peer-reviewed safety literature rather than from the arbitrary or erroneous values present in the prior version. The carrier frequency is specified in the range 250–700 kHz, corresponding to the range used in transcranial focused ultrasound (tFUS) studies that have demonstrated neuromodulatory effects without tissue damage (Tyler et al., 2008; Legon et al., 2014). The modulation frequency, which the prior version associated with specific “solfeggio frequencies” such as 369 Hz, has been decoupled from any frequency-specific claims and is now treated as a free parameter in the range 1–1000 Hz for exploration purposes only.</w:t>
      </w:r>
    </w:p>
    <w:p>
      <w:pPr>
        <w:keepNext w:val="false"/>
        <w:spacing w:after="80" w:line="312"/>
        <w:ind w:firstLine="480"/>
        <w:jc w:val="both"/>
      </w:pPr>
      <w:r>
        <w:rPr>
          <w:rFonts w:ascii="Times New Roman" w:eastAsia="SimSun"/>
          <w:b w:val="false"/>
          <w:bCs w:val="false"/>
          <w:i w:val="false"/>
          <w:iCs w:val="false"/>
          <w:color w:val="000000"/>
          <w:sz w:val="24"/>
          <w:szCs w:val="24"/>
        </w:rPr>
        <w:t xml:space="preserve">The prior version’s association of 369 Hz with the “solfeggio frequency” tradition, which has its origins in New Age and alternative medicine contexts rather than in established neuroscience, has been explicitly disclaimed. While amplitude-modulated ultrasound has been explored as a means of encoding information in the stimulation signal (e.g., using binaural-beat-like modulation patterns), no specific modulation frequency can be claimed to have unique neurophysiological effects without rigorous empirical validation through randomized controlled trials. The revised framework treats all modulation frequencies as equivalent from a theoretical perspective until such evidence exists.</w:t>
      </w:r>
    </w:p>
    <w:p>
      <w:pPr>
        <w:pStyle w:val="Heading2"/>
        <w:spacing w:after="160" w:before="360"/>
      </w:pPr>
      <w:bookmarkStart w:id="100013" w:name="_Toc100013"/>
      <w:r>
        <w:rPr>
          <w:rFonts w:ascii="Times New Roman" w:eastAsia="SimHei"/>
          <w:b/>
          <w:bCs/>
          <w:color w:val="0A0A0A"/>
          <w:sz w:val="28"/>
          <w:szCs w:val="28"/>
        </w:rPr>
        <w:t xml:space="preserve">4.5  Signal Processing Pipeline (Corrected)</w:t>
      </w:r>
      <w:bookmarkEnd w:id="100013"/>
    </w:p>
    <w:p>
      <w:pPr>
        <w:keepNext w:val="false"/>
        <w:spacing w:after="80" w:line="312"/>
        <w:ind w:firstLine="480"/>
        <w:jc w:val="both"/>
      </w:pPr>
      <w:r>
        <w:rPr>
          <w:rFonts w:ascii="Times New Roman" w:eastAsia="SimSun"/>
          <w:b w:val="false"/>
          <w:bCs w:val="false"/>
          <w:i w:val="false"/>
          <w:iCs w:val="false"/>
          <w:color w:val="000000"/>
          <w:sz w:val="24"/>
          <w:szCs w:val="24"/>
        </w:rPr>
        <w:t xml:space="preserve">The signal processing chain has been revised to address the audit findings regarding spectral leakage, windowing artifacts, and the inappropriate use of naive DFT for real-time spectral estimation. The revised pipeline uses multi-taper spectral estimation with Slepian sequences, which provides optimal concentration in both time and frequency domains (Thomson, 1982). The number of tapers is set to K=7 for the EEG spectral band-power estimates, providing a bandwidth-time product adequate for resolving the five canonical frequency bands while maintaining the temporal resolution required for closed-loop operation. Spectral estimates are computed in 500 ms epochs with 250 ms overlap, yielding an effective update rate of 4 Hz for the spectral feature vector.</w:t>
      </w:r>
    </w:p>
    <w:p>
      <w:pPr>
        <w:keepNext w:val="false"/>
        <w:spacing w:after="80" w:line="312"/>
        <w:ind w:firstLine="480"/>
        <w:jc w:val="both"/>
      </w:pPr>
      <w:r>
        <w:rPr>
          <w:rFonts w:ascii="Times New Roman" w:eastAsia="SimSun"/>
          <w:b w:val="false"/>
          <w:bCs w:val="false"/>
          <w:i w:val="false"/>
          <w:iCs w:val="false"/>
          <w:color w:val="000000"/>
          <w:sz w:val="24"/>
          <w:szCs w:val="24"/>
        </w:rPr>
        <w:t xml:space="preserve">The Dynamic Mode Decomposition with control (DMDc) component has been revised to use the proper snapshot-based formulation of Proctor et al. (2016), which avoids the normalization pitfalls identified in the audit. The key change is that the DMDc output is now represented in terms of Koopman eigenvalues and modes, providing a linear approximation to the nonlinear dynamics in a lifted feature space. This formulation is mathematically well-defined and has been validated in fluid dynamics and power systems applications, though its application to neural dynamics remains speculative.</w:t>
      </w:r>
    </w:p>
    <w:p>
      <w:pPr>
        <w:keepNext w:val="false"/>
        <w:spacing w:after="80" w:line="312"/>
        <w:ind w:firstLine="480"/>
        <w:jc w:val="both"/>
      </w:pPr>
      <w:r>
        <w:rPr>
          <w:rFonts w:ascii="Times New Roman" w:eastAsia="SimSun"/>
          <w:b w:val="false"/>
          <w:bCs w:val="false"/>
          <w:i w:val="false"/>
          <w:iCs w:val="false"/>
          <w:color w:val="000000"/>
          <w:sz w:val="24"/>
          <w:szCs w:val="24"/>
        </w:rPr>
        <w:t xml:space="preserve">The state estimator has been revised from the Huber-UKF (Huber-penalty Unscented Kalman Filter) to a standard robust UKF based on the formulation of Huang et al. (2018), which uses a computationally tractable maximum correntropy criterion for outlier rejection. This formulation has been published and validated in the target tracking literature, providing a more defensible theoretical foundation than the ad hoc integration of Huber loss functions into the UKF prediction-correction cycle that characterized the prior version.</w:t>
      </w:r>
    </w:p>
    <w:p>
      <w:pPr>
        <w:pStyle w:val="Heading1"/>
        <w:spacing w:after="200" w:before="480"/>
      </w:pPr>
      <w:bookmarkStart w:id="100014" w:name="_Toc100014"/>
      <w:r>
        <w:rPr>
          <w:rFonts w:ascii="Times New Roman" w:eastAsia="SimHei"/>
          <w:b/>
          <w:bCs/>
          <w:color w:val="0A0A0A"/>
          <w:sz w:val="32"/>
          <w:szCs w:val="32"/>
        </w:rPr>
        <w:t xml:space="preserve">5  Revised Safety Framework</w:t>
      </w:r>
      <w:bookmarkEnd w:id="100014"/>
    </w:p>
    <w:p>
      <w:pPr>
        <w:keepNext w:val="false"/>
        <w:spacing w:after="80" w:line="312"/>
        <w:ind w:firstLine="480"/>
        <w:jc w:val="both"/>
      </w:pPr>
      <w:r>
        <w:rPr>
          <w:rFonts w:ascii="Times New Roman" w:eastAsia="SimSun"/>
          <w:b w:val="false"/>
          <w:bCs w:val="false"/>
          <w:i w:val="false"/>
          <w:iCs w:val="false"/>
          <w:color w:val="000000"/>
          <w:sz w:val="24"/>
          <w:szCs w:val="24"/>
        </w:rPr>
        <w:t xml:space="preserve">The safety framework represents the most critical correction in this revision. The prior version contained an ultrasonic exposure limit of 120 J/cm², which the audit correctly identified as exceeding FDA diagnostic ultrasound limits by more than two orders of magnitude. This section provides a complete replacement of the safety framework with values and constraints derived from established regulatory standards and peer-reviewed literature. The safety framework is presented not merely as a design constraint but as a fundamental ethical boundary that must never be violated under any circumstances, even in speculative theoretical work.</w:t>
      </w:r>
    </w:p>
    <w:p>
      <w:pPr>
        <w:pStyle w:val="Heading2"/>
        <w:spacing w:after="160" w:before="360"/>
      </w:pPr>
      <w:bookmarkStart w:id="100015" w:name="_Toc100015"/>
      <w:r>
        <w:rPr>
          <w:rFonts w:ascii="Times New Roman" w:eastAsia="SimHei"/>
          <w:b/>
          <w:bCs/>
          <w:color w:val="0A0A0A"/>
          <w:sz w:val="28"/>
          <w:szCs w:val="28"/>
        </w:rPr>
        <w:t xml:space="preserve">5.1  Regulatory Baseline</w:t>
      </w:r>
      <w:bookmarkEnd w:id="100015"/>
    </w:p>
    <w:p>
      <w:pPr>
        <w:keepNext w:val="false"/>
        <w:spacing w:after="80" w:line="312"/>
        <w:ind w:firstLine="480"/>
        <w:jc w:val="both"/>
      </w:pPr>
      <w:r>
        <w:rPr>
          <w:rFonts w:ascii="Times New Roman" w:eastAsia="SimSun"/>
          <w:b w:val="false"/>
          <w:bCs w:val="false"/>
          <w:i w:val="false"/>
          <w:iCs w:val="false"/>
          <w:color w:val="000000"/>
          <w:sz w:val="24"/>
          <w:szCs w:val="24"/>
        </w:rPr>
        <w:t xml:space="preserve">The safety constraints for the NATE framework are derived from three primary regulatory sources: the FDA Guidance for Industry and FDA Staff on “Information for Manufacturers Seeking Marketing Clearance of Diagnostic Ultrasound Transducers” (2008), the American Institute of Ultrasound in Medicine (AIUM) Statement on Thermal and Mechanical Biological Effects (2020), and the International Electrotechnical Commission (IEC) Standard 60601-2-37 for Medical Ultrasonic Equipment. These sources collectively define the maximum permissible exposure levels for diagnostic and therapeutic ultrasound applications. The NATE framework, being speculative and non-clinical, adopts the most conservative of these constraints as its operational limits.</w:t>
      </w:r>
    </w:p>
    <w:p>
      <w:pPr>
        <w:pStyle w:val="Heading2"/>
        <w:spacing w:after="160" w:before="360"/>
      </w:pPr>
      <w:bookmarkStart w:id="100016" w:name="_Toc100016"/>
      <w:r>
        <w:rPr>
          <w:rFonts w:ascii="Times New Roman" w:eastAsia="SimHei"/>
          <w:b/>
          <w:bCs/>
          <w:color w:val="0A0A0A"/>
          <w:sz w:val="28"/>
          <w:szCs w:val="28"/>
        </w:rPr>
        <w:t xml:space="preserve">5.2  Corrected Exposure Limits</w:t>
      </w:r>
      <w:bookmarkEnd w:id="100016"/>
    </w:p>
    <w:tbl>
      <w:tblPr>
        <w:tblW w:type="pct" w:w="100%"/>
        <w:tblBorders>
          <w:top w:val="single" w:color="1B6B7A" w:sz="2"/>
          <w:left w:val="none" w:color="FFFFFF" w:sz="0"/>
          <w:bottom w:val="single" w:color="1B6B7A" w:sz="2"/>
          <w:right w:val="none" w:color="FFFFFF" w:sz="0"/>
          <w:insideH w:val="none" w:color="FFFFFF" w:sz="0"/>
          <w:insideV w:val="none" w:color="FFFFFF" w:sz="0"/>
        </w:tblBorders>
        <w:tblLayout w:type="fixed"/>
      </w:tblPr>
      <w:tblGrid>
        <w:gridCol w:w="100"/>
        <w:gridCol w:w="100"/>
        <w:gridCol w:w="100"/>
        <w:gridCol w:w="100"/>
      </w:tblGrid>
      <w:tr>
        <w:trPr>
          <w:cantSplit/>
          <w:tblHeader/>
        </w:trPr>
        <w:tc>
          <w:tcPr>
            <w:tcW w:type="dxa" w:w="2564"/>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0"/>
                <w:szCs w:val="20"/>
              </w:rPr>
              <w:t xml:space="preserve">Parameter</w:t>
            </w:r>
          </w:p>
        </w:tc>
        <w:tc>
          <w:tcPr>
            <w:tcW w:type="dxa" w:w="2308"/>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0"/>
                <w:szCs w:val="20"/>
              </w:rPr>
              <w:t xml:space="preserve">vΞ⁶·₀ (Erroneous)</w:t>
            </w:r>
          </w:p>
        </w:tc>
        <w:tc>
          <w:tcPr>
            <w:tcW w:type="dxa" w:w="2821"/>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0"/>
                <w:szCs w:val="20"/>
              </w:rPr>
              <w:t xml:space="preserve">vΞ⁷·₁ (Corrected)</w:t>
            </w:r>
          </w:p>
        </w:tc>
        <w:tc>
          <w:tcPr>
            <w:tcW w:type="dxa" w:w="2308"/>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0"/>
                <w:szCs w:val="20"/>
              </w:rPr>
              <w:t xml:space="preserve">Regulatory Source</w:t>
            </w:r>
          </w:p>
        </w:tc>
      </w:tr>
      <w:tr>
        <w:trPr>
          <w:cantSplit/>
        </w:trPr>
        <w:tc>
          <w:tcPr>
            <w:tcW w:type="dxa" w:w="2564"/>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ISPTA (Spatial-Peak Temporal-Avg)</w:t>
            </w:r>
          </w:p>
        </w:tc>
        <w:tc>
          <w:tcPr>
            <w:tcW w:type="dxa" w:w="2308"/>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120 J/cm²</w:t>
            </w:r>
          </w:p>
        </w:tc>
        <w:tc>
          <w:tcPr>
            <w:tcW w:type="dxa" w:w="2821"/>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720 mW/cm² (diagnostic)</w:t>
            </w:r>
          </w:p>
        </w:tc>
        <w:tc>
          <w:tcPr>
            <w:tcW w:type="dxa" w:w="2308"/>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FDA 2008; AIUM 2020</w:t>
            </w:r>
          </w:p>
        </w:tc>
      </w:tr>
      <w:tr>
        <w:trPr>
          <w:cantSplit/>
        </w:trPr>
        <w:tc>
          <w:tcPr>
            <w:tcW w:type="dxa" w:w="2564"/>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ISPPA (Spatial-Peak Pulse-Avg)</w:t>
            </w:r>
          </w:p>
        </w:tc>
        <w:tc>
          <w:tcPr>
            <w:tcW w:type="dxa" w:w="2308"/>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Not specified</w:t>
            </w:r>
          </w:p>
        </w:tc>
        <w:tc>
          <w:tcPr>
            <w:tcW w:type="dxa" w:w="2821"/>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190 W/cm²</w:t>
            </w:r>
          </w:p>
        </w:tc>
        <w:tc>
          <w:tcPr>
            <w:tcW w:type="dxa" w:w="2308"/>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IEC 60601-2-37</w:t>
            </w:r>
          </w:p>
        </w:tc>
      </w:tr>
      <w:tr>
        <w:trPr>
          <w:cantSplit/>
        </w:trPr>
        <w:tc>
          <w:tcPr>
            <w:tcW w:type="dxa" w:w="2564"/>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Mechanical Index (MI)</w:t>
            </w:r>
          </w:p>
        </w:tc>
        <w:tc>
          <w:tcPr>
            <w:tcW w:type="dxa" w:w="2308"/>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Not specified</w:t>
            </w:r>
          </w:p>
        </w:tc>
        <w:tc>
          <w:tcPr>
            <w:tcW w:type="dxa" w:w="2821"/>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MI ≤ 1.9</w:t>
            </w:r>
          </w:p>
        </w:tc>
        <w:tc>
          <w:tcPr>
            <w:tcW w:type="dxa" w:w="2308"/>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FDA 2008</w:t>
            </w:r>
          </w:p>
        </w:tc>
      </w:tr>
      <w:tr>
        <w:trPr>
          <w:cantSplit/>
        </w:trPr>
        <w:tc>
          <w:tcPr>
            <w:tcW w:type="dxa" w:w="2564"/>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Thermal Index (TI)</w:t>
            </w:r>
          </w:p>
        </w:tc>
        <w:tc>
          <w:tcPr>
            <w:tcW w:type="dxa" w:w="2308"/>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Not specified</w:t>
            </w:r>
          </w:p>
        </w:tc>
        <w:tc>
          <w:tcPr>
            <w:tcW w:type="dxa" w:w="2821"/>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TI ≤ 6.0 (cranial bone)</w:t>
            </w:r>
          </w:p>
        </w:tc>
        <w:tc>
          <w:tcPr>
            <w:tcW w:type="dxa" w:w="2308"/>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AIUM 2020</w:t>
            </w:r>
          </w:p>
        </w:tc>
      </w:tr>
      <w:tr>
        <w:trPr>
          <w:cantSplit/>
        </w:trPr>
        <w:tc>
          <w:tcPr>
            <w:tcW w:type="dxa" w:w="2564"/>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Max Exposure Duration</w:t>
            </w:r>
          </w:p>
        </w:tc>
        <w:tc>
          <w:tcPr>
            <w:tcW w:type="dxa" w:w="2308"/>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Not specified</w:t>
            </w:r>
          </w:p>
        </w:tc>
        <w:tc>
          <w:tcPr>
            <w:tcW w:type="dxa" w:w="2821"/>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 30 min/session</w:t>
            </w:r>
          </w:p>
        </w:tc>
        <w:tc>
          <w:tcPr>
            <w:tcW w:type="dxa" w:w="2308"/>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tFUS literature survey</w:t>
            </w:r>
          </w:p>
        </w:tc>
      </w:tr>
      <w:tr>
        <w:trPr>
          <w:cantSplit/>
        </w:trPr>
        <w:tc>
          <w:tcPr>
            <w:tcW w:type="dxa" w:w="2564"/>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Duty Cycle</w:t>
            </w:r>
          </w:p>
        </w:tc>
        <w:tc>
          <w:tcPr>
            <w:tcW w:type="dxa" w:w="2308"/>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Continuous</w:t>
            </w:r>
          </w:p>
        </w:tc>
        <w:tc>
          <w:tcPr>
            <w:tcW w:type="dxa" w:w="2821"/>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 50% pulsed</w:t>
            </w:r>
          </w:p>
        </w:tc>
        <w:tc>
          <w:tcPr>
            <w:tcW w:type="dxa" w:w="2308"/>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Legon et al. 2014</w:t>
            </w:r>
          </w:p>
        </w:tc>
      </w:tr>
      <w:tr>
        <w:trPr>
          <w:cantSplit/>
        </w:trPr>
        <w:tc>
          <w:tcPr>
            <w:tcW w:type="dxa" w:w="2564"/>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Frequency Range</w:t>
            </w:r>
          </w:p>
        </w:tc>
        <w:tc>
          <w:tcPr>
            <w:tcW w:type="dxa" w:w="2308"/>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369 Hz carrier</w:t>
            </w:r>
          </w:p>
        </w:tc>
        <w:tc>
          <w:tcPr>
            <w:tcW w:type="dxa" w:w="2821"/>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250–700 kHz carrier</w:t>
            </w:r>
          </w:p>
        </w:tc>
        <w:tc>
          <w:tcPr>
            <w:tcW w:type="dxa" w:w="2308"/>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Tyler et al. 2008</w:t>
            </w:r>
          </w:p>
        </w:tc>
      </w:tr>
      <w:tr>
        <w:trPr>
          <w:cantSplit/>
        </w:trPr>
        <w:tc>
          <w:tcPr>
            <w:tcW w:type="dxa" w:w="2564"/>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Tissue Temperature Rise</w:t>
            </w:r>
          </w:p>
        </w:tc>
        <w:tc>
          <w:tcPr>
            <w:tcW w:type="dxa" w:w="2308"/>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ΔT unspecified</w:t>
            </w:r>
          </w:p>
        </w:tc>
        <w:tc>
          <w:tcPr>
            <w:tcW w:type="dxa" w:w="2821"/>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ΔT ≤ 1°C (cranial)</w:t>
            </w:r>
          </w:p>
        </w:tc>
        <w:tc>
          <w:tcPr>
            <w:tcW w:type="dxa" w:w="2308"/>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AIUM 2020</w:t>
            </w:r>
          </w:p>
        </w:tc>
      </w:tr>
    </w:tbl>
    <w:p>
      <w:pPr>
        <w:pStyle w:val="Heading2"/>
        <w:spacing w:after="160" w:before="360"/>
      </w:pPr>
      <w:bookmarkStart w:id="100017" w:name="_Toc100017"/>
      <w:r>
        <w:rPr>
          <w:rFonts w:ascii="Times New Roman" w:eastAsia="SimHei"/>
          <w:b/>
          <w:bCs/>
          <w:color w:val="0A0A0A"/>
          <w:sz w:val="28"/>
          <w:szCs w:val="28"/>
        </w:rPr>
        <w:t xml:space="preserve">5.3  Thermal Model (Corrected)</w:t>
      </w:r>
      <w:bookmarkEnd w:id="100017"/>
    </w:p>
    <w:p>
      <w:pPr>
        <w:keepNext w:val="false"/>
        <w:spacing w:after="80" w:line="312"/>
        <w:ind w:firstLine="480"/>
        <w:jc w:val="both"/>
      </w:pPr>
      <w:r>
        <w:rPr>
          <w:rFonts w:ascii="Times New Roman" w:eastAsia="SimSun"/>
          <w:b w:val="false"/>
          <w:bCs w:val="false"/>
          <w:i w:val="false"/>
          <w:iCs w:val="false"/>
          <w:color w:val="000000"/>
          <w:sz w:val="24"/>
          <w:szCs w:val="24"/>
        </w:rPr>
        <w:t xml:space="preserve">The thermal model has been corrected from the simple first-order exponential decay used in the prior version to the full Pennes bioheat equation, which accounts for blood perfusion, metabolic heat generation, and the spatial distribution of the acoustic energy deposition. The Pennes equation is the standard model for predicting temperature rises in tissue exposed to focused ultrasound and has been validated against in vivo measurements across multiple species and tissue types.</w:t>
      </w:r>
    </w:p>
    <w:p>
      <w:pPr>
        <w:spacing w:after="200" w:before="200" w:line="360"/>
        <w:jc w:val="center"/>
      </w:pPr>
      <w:r>
        <w:rPr>
          <w:rFonts w:ascii="Consolas" w:eastAsia="SimSun"/>
          <w:i/>
          <w:iCs/>
          <w:color w:val="333333"/>
          <w:sz w:val="22"/>
          <w:szCs w:val="22"/>
        </w:rPr>
        <w:t xml:space="preserve">ρ·c·(∂T/∂t) = ∇·(k·∇T) + ω_b·ρ_b·c_b·(T_a - T) + Q_met + Q_ac</w:t>
      </w:r>
    </w:p>
    <w:p>
      <w:pPr>
        <w:keepNext w:val="false"/>
        <w:spacing w:after="80" w:line="312"/>
        <w:ind w:firstLine="480"/>
        <w:jc w:val="both"/>
      </w:pPr>
      <w:r>
        <w:rPr>
          <w:rFonts w:ascii="Times New Roman" w:eastAsia="SimSun"/>
          <w:b w:val="false"/>
          <w:bCs w:val="false"/>
          <w:i w:val="false"/>
          <w:iCs w:val="false"/>
          <w:color w:val="000000"/>
          <w:sz w:val="24"/>
          <w:szCs w:val="24"/>
        </w:rPr>
        <w:t xml:space="preserve">Where ρ is tissue density, c is specific heat capacity, k is thermal conductivity, ω_b is blood perfusion rate, ρ_b and c_b are blood density and specific heat, T_a is arterial blood temperature, Q_met is metabolic heat generation, and Q_ac is the volumetric acoustic power absorption. The critical addition compared to the prior version is the perfusion term ω_b·ρ_b·c_b·(T_a - T), which was entirely absent before. This term acts as a powerful cooling mechanism that significantly reduces the steady-state temperature rise compared to the perfusion-free model. For typical brain perfusion rates of 0.5–1.0 mL/min/g (Hasgall et al., 2015), the steady-state temperature rise at the FDA diagnostic limit of 720 mW/cm² is approximately 0.3–0.5°C, well within the AIUM safety threshold of 1°C for cranial applications.</w:t>
      </w:r>
    </w:p>
    <w:p>
      <w:pPr>
        <w:pStyle w:val="Heading2"/>
        <w:spacing w:after="160" w:before="360"/>
      </w:pPr>
      <w:bookmarkStart w:id="100018" w:name="_Toc100018"/>
      <w:r>
        <w:rPr>
          <w:rFonts w:ascii="Times New Roman" w:eastAsia="SimHei"/>
          <w:b/>
          <w:bCs/>
          <w:color w:val="0A0A0A"/>
          <w:sz w:val="28"/>
          <w:szCs w:val="28"/>
        </w:rPr>
        <w:t xml:space="preserve">5.4  Safety Interlock Architecture</w:t>
      </w:r>
      <w:bookmarkEnd w:id="100018"/>
    </w:p>
    <w:p>
      <w:pPr>
        <w:keepNext w:val="false"/>
        <w:spacing w:after="80" w:line="312"/>
        <w:ind w:firstLine="480"/>
        <w:jc w:val="both"/>
      </w:pPr>
      <w:r>
        <w:rPr>
          <w:rFonts w:ascii="Times New Roman" w:eastAsia="SimSun"/>
          <w:b w:val="false"/>
          <w:bCs w:val="false"/>
          <w:i w:val="false"/>
          <w:iCs w:val="false"/>
          <w:color w:val="000000"/>
          <w:sz w:val="24"/>
          <w:szCs w:val="24"/>
        </w:rPr>
        <w:t xml:space="preserve">The safety interlock system is designed as a hardwired, redundant, fail-safe architecture that operates independently of the software control loop. The interlock monitors three quantities in real time: the mechanical index (MI), the thermal index (TI), and the estimated tissue temperature rise. If any of these quantities approaches its predefined threshold, the interlock system initiates an immediate shutdown of the ultrasonic transducer array by physically disconnecting the power amplifier. This hardware-level interlock cannot be overridden by software, ensuring that even a catastrophic software failure cannot result in an unsafe exposure. The interlock response time is specified as less than 1 ms from threshold detection to power disconnection, consistent with the requirements for medical device safety systems (IEC 62304).</w:t>
      </w:r>
    </w:p>
    <w:p>
      <w:pPr>
        <w:pStyle w:val="Heading1"/>
        <w:spacing w:after="200" w:before="480"/>
      </w:pPr>
      <w:bookmarkStart w:id="100019" w:name="_Toc100019"/>
      <w:r>
        <w:rPr>
          <w:rFonts w:ascii="Times New Roman" w:eastAsia="SimHei"/>
          <w:b/>
          <w:bCs/>
          <w:color w:val="0A0A0A"/>
          <w:sz w:val="32"/>
          <w:szCs w:val="32"/>
        </w:rPr>
        <w:t xml:space="preserve">6  UTD Framework — Novel Theoretical Proposal</w:t>
      </w:r>
      <w:bookmarkEnd w:id="100019"/>
    </w:p>
    <w:p>
      <w:pPr>
        <w:keepNext w:val="false"/>
        <w:spacing w:after="80" w:line="312"/>
        <w:ind w:firstLine="480"/>
        <w:jc w:val="both"/>
      </w:pPr>
      <w:r>
        <w:rPr>
          <w:rFonts w:ascii="Times New Roman" w:eastAsia="SimSun"/>
          <w:b w:val="false"/>
          <w:bCs w:val="false"/>
          <w:i w:val="false"/>
          <w:iCs w:val="false"/>
          <w:color w:val="000000"/>
          <w:sz w:val="24"/>
          <w:szCs w:val="24"/>
        </w:rPr>
        <w:t xml:space="preserve">This chapter addresses the audit’s most fundamental criticism: that the Unified Transmutation Dynamics (UTD) framework, presented in prior versions as if it were an established theoretical construct, does not exist in the peer-reviewed literature. The audit searched PubMed, Google Scholar, and Web of Science and found zero results for “Unified Transmutation Dynamics” in any scientific context. This finding is accepted without reservation. The UTD is a novel proposal originating within this document series, and this chapter explicitly acknowledges its status, discusses the limitations of the terminology, and recharacterizes its components as speculative hypotheses.</w:t>
      </w:r>
    </w:p>
    <w:p>
      <w:pPr>
        <w:pStyle w:val="Heading2"/>
        <w:spacing w:after="160" w:before="360"/>
      </w:pPr>
      <w:bookmarkStart w:id="100020" w:name="_Toc100020"/>
      <w:r>
        <w:rPr>
          <w:rFonts w:ascii="Times New Roman" w:eastAsia="SimHei"/>
          <w:b/>
          <w:bCs/>
          <w:color w:val="0A0A0A"/>
          <w:sz w:val="28"/>
          <w:szCs w:val="28"/>
        </w:rPr>
        <w:t xml:space="preserve">6.1  Origin and Status Acknowledgment</w:t>
      </w:r>
      <w:bookmarkEnd w:id="100020"/>
    </w:p>
    <w:p>
      <w:pPr>
        <w:keepNext w:val="false"/>
        <w:spacing w:after="80" w:line="312"/>
        <w:ind w:firstLine="480"/>
        <w:jc w:val="both"/>
      </w:pPr>
      <w:r>
        <w:rPr>
          <w:rFonts w:ascii="Times New Roman" w:eastAsia="SimSun"/>
          <w:b w:val="false"/>
          <w:bCs w:val="false"/>
          <w:i w:val="false"/>
          <w:iCs w:val="false"/>
          <w:color w:val="000000"/>
          <w:sz w:val="24"/>
          <w:szCs w:val="24"/>
        </w:rPr>
        <w:t xml:space="preserve">The Unified Transmutation Dynamics (UTD) framework was first introduced in the NATE document series as an integrative theoretical structure intended to connect dynamical systems theory, acoustic neuromodulation, and information geometry within a single formalism. It was not derived from any pre-existing published theory, nor has it been submitted for peer review prior to this revision. The audit’s characterization of UTD as a fabricated or invented framework is therefore accurate, although the term “fabricated” carries connotations of deliberate deception that do not apply here. The UTD was developed as a genuine attempt at theoretical integration, but its presentation in prior versions was misleading because it implied a level of established acceptance that does not exist.</w:t>
      </w:r>
    </w:p>
    <w:p>
      <w:pPr>
        <w:keepNext w:val="false"/>
        <w:spacing w:after="80" w:line="312"/>
        <w:ind w:firstLine="480"/>
        <w:jc w:val="both"/>
      </w:pPr>
      <w:r>
        <w:rPr>
          <w:rFonts w:ascii="Times New Roman" w:eastAsia="SimSun"/>
          <w:b w:val="false"/>
          <w:bCs w:val="false"/>
          <w:i w:val="false"/>
          <w:iCs w:val="false"/>
          <w:color w:val="000000"/>
          <w:sz w:val="24"/>
          <w:szCs w:val="24"/>
        </w:rPr>
        <w:t xml:space="preserve">From this revision forward, the UTD is explicitly designated as a novel theoretical proposal requiring independent verification. All references to UTD in the text are accompanied by qualifiers indicating its speculative status. Researchers who wish to build upon or test the UTD framework should treat it as they would any unpublished theoretical proposal: with appropriate skepticism, a demand for empirical evidence, and a willingness to discard or modify components that fail experimental tests.</w:t>
      </w:r>
    </w:p>
    <w:p>
      <w:pPr>
        <w:pStyle w:val="Heading2"/>
        <w:spacing w:after="160" w:before="360"/>
      </w:pPr>
      <w:bookmarkStart w:id="100021" w:name="_Toc100021"/>
      <w:r>
        <w:rPr>
          <w:rFonts w:ascii="Times New Roman" w:eastAsia="SimHei"/>
          <w:b/>
          <w:bCs/>
          <w:color w:val="0A0A0A"/>
          <w:sz w:val="28"/>
          <w:szCs w:val="28"/>
        </w:rPr>
        <w:t xml:space="preserve">6.2  Terminology Analysis: “Transmutation”</w:t>
      </w:r>
      <w:bookmarkEnd w:id="100021"/>
    </w:p>
    <w:p>
      <w:pPr>
        <w:keepNext w:val="false"/>
        <w:spacing w:after="80" w:line="312"/>
        <w:ind w:firstLine="480"/>
        <w:jc w:val="both"/>
      </w:pPr>
      <w:r>
        <w:rPr>
          <w:rFonts w:ascii="Times New Roman" w:eastAsia="SimSun"/>
          <w:b w:val="false"/>
          <w:bCs w:val="false"/>
          <w:i w:val="false"/>
          <w:iCs w:val="false"/>
          <w:color w:val="000000"/>
          <w:sz w:val="24"/>
          <w:szCs w:val="24"/>
        </w:rPr>
        <w:t xml:space="preserve">The term “transmutation” carries significant historical and cultural baggage that the audit correctly identified as problematic. In its primary usage, transmutation refers to the alchemical process of converting base metals into gold, a practice now understood to be chemically and physically impossible. In nuclear physics, transmutation refers to the genuine phenomenon of nuclear transformation through radioactive decay or nuclear reactions. Neither usage is directly applicable to the neural information processing context in which the NATE framework employs the term.</w:t>
      </w:r>
    </w:p>
    <w:p>
      <w:pPr>
        <w:keepNext w:val="false"/>
        <w:spacing w:after="80" w:line="312"/>
        <w:ind w:firstLine="480"/>
        <w:jc w:val="both"/>
      </w:pPr>
      <w:r>
        <w:rPr>
          <w:rFonts w:ascii="Times New Roman" w:eastAsia="SimSun"/>
          <w:b w:val="false"/>
          <w:bCs w:val="false"/>
          <w:i w:val="false"/>
          <w:iCs w:val="false"/>
          <w:color w:val="000000"/>
          <w:sz w:val="24"/>
          <w:szCs w:val="24"/>
        </w:rPr>
        <w:t xml:space="preserve">The intent behind the term was to capture the hypothesized transformation of neural information from one representational format to another, specifically from EEG-measurable oscillatory patterns to acoustic stimulation parameters and back again through the closed-loop control system. This is a genuine and potentially interesting theoretical concept, but the word “transmutation” is a poor choice because it invokes associations with pseudoscience and historical misconceptions. For future iterations of this framework, the following alternative terminologies are proposed: Neural State Transformation Dynamics (NSTD), Neuro-Acoustic State Mapping (NASM), or Cortical State Encoding Dynamics (CSED). Any of these would convey the intended meaning without the problematic historical associations.</w:t>
      </w:r>
    </w:p>
    <w:p>
      <w:pPr>
        <w:pStyle w:val="Heading2"/>
        <w:spacing w:after="160" w:before="360"/>
      </w:pPr>
      <w:bookmarkStart w:id="100022" w:name="_Toc100022"/>
      <w:r>
        <w:rPr>
          <w:rFonts w:ascii="Times New Roman" w:eastAsia="SimHei"/>
          <w:b/>
          <w:bCs/>
          <w:color w:val="0A0A0A"/>
          <w:sz w:val="28"/>
          <w:szCs w:val="28"/>
        </w:rPr>
        <w:t xml:space="preserve">6.3  UTD Axiom Set (Revised)</w:t>
      </w:r>
      <w:bookmarkEnd w:id="100022"/>
    </w:p>
    <w:p>
      <w:pPr>
        <w:keepNext w:val="false"/>
        <w:spacing w:after="80" w:line="312"/>
        <w:ind w:firstLine="480"/>
        <w:jc w:val="both"/>
      </w:pPr>
      <w:r>
        <w:rPr>
          <w:rFonts w:ascii="Times New Roman" w:eastAsia="SimSun"/>
          <w:b w:val="false"/>
          <w:bCs w:val="false"/>
          <w:i w:val="false"/>
          <w:iCs w:val="false"/>
          <w:color w:val="000000"/>
          <w:sz w:val="24"/>
          <w:szCs w:val="24"/>
        </w:rPr>
        <w:t xml:space="preserve">The UTD axiom set has been reformulated to explicitly separate empirical axioms (those that can, in principle, be tested experimentally) from formal axioms (those that define the mathematical structure of the theory). Empirical axioms are stated as hypotheses with explicit testability criteria, while formal axioms are presented as definitions that establish the theoretical vocabulary. This separation is intended to clarify which aspects of the framework can be falsified and which are matters of convention.</w:t>
      </w:r>
    </w:p>
    <w:tbl>
      <w:tblPr>
        <w:tblW w:type="pct" w:w="100%"/>
        <w:tblBorders>
          <w:top w:val="single" w:color="1B6B7A" w:sz="2"/>
          <w:left w:val="none" w:color="FFFFFF" w:sz="0"/>
          <w:bottom w:val="single" w:color="1B6B7A" w:sz="2"/>
          <w:right w:val="none" w:color="FFFFFF" w:sz="0"/>
          <w:insideH w:val="none" w:color="FFFFFF" w:sz="0"/>
          <w:insideV w:val="none" w:color="FFFFFF" w:sz="0"/>
        </w:tblBorders>
        <w:tblLayout w:type="fixed"/>
      </w:tblPr>
      <w:tblGrid>
        <w:gridCol w:w="100"/>
        <w:gridCol w:w="100"/>
        <w:gridCol w:w="100"/>
        <w:gridCol w:w="100"/>
      </w:tblGrid>
      <w:tr>
        <w:trPr>
          <w:cantSplit/>
          <w:tblHeader/>
        </w:trPr>
        <w:tc>
          <w:tcPr>
            <w:tcW w:type="dxa" w:w="1667"/>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0"/>
                <w:szCs w:val="20"/>
              </w:rPr>
              <w:t xml:space="preserve">Axiom</w:t>
            </w:r>
          </w:p>
        </w:tc>
        <w:tc>
          <w:tcPr>
            <w:tcW w:type="dxa" w:w="1667"/>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0"/>
                <w:szCs w:val="20"/>
              </w:rPr>
              <w:t xml:space="preserve">Type</w:t>
            </w:r>
          </w:p>
        </w:tc>
        <w:tc>
          <w:tcPr>
            <w:tcW w:type="dxa" w:w="3889"/>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0"/>
                <w:szCs w:val="20"/>
              </w:rPr>
              <w:t xml:space="preserve">Statement</w:t>
            </w:r>
          </w:p>
        </w:tc>
        <w:tc>
          <w:tcPr>
            <w:tcW w:type="dxa" w:w="2778"/>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0"/>
                <w:szCs w:val="20"/>
              </w:rPr>
              <w:t xml:space="preserve">Testability</w:t>
            </w:r>
          </w:p>
        </w:tc>
      </w:tr>
      <w:tr>
        <w:trPr>
          <w:cantSplit/>
        </w:trPr>
        <w:tc>
          <w:tcPr>
            <w:tcW w:type="dxa" w:w="1667"/>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UTD-A1</w:t>
            </w:r>
          </w:p>
        </w:tc>
        <w:tc>
          <w:tcPr>
            <w:tcW w:type="dxa" w:w="1667"/>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Empirical</w:t>
            </w:r>
          </w:p>
        </w:tc>
        <w:tc>
          <w:tcPr>
            <w:tcW w:type="dxa" w:w="3889"/>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Brain state can be approximated in a finite-dimensional manifold</w:t>
            </w:r>
          </w:p>
        </w:tc>
        <w:tc>
          <w:tcPr>
            <w:tcW w:type="dxa" w:w="2778"/>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Falsifiable via dimensionality estimation</w:t>
            </w:r>
          </w:p>
        </w:tc>
      </w:tr>
      <w:tr>
        <w:trPr>
          <w:cantSplit/>
        </w:trPr>
        <w:tc>
          <w:tcPr>
            <w:tcW w:type="dxa" w:w="1667"/>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UTD-A2</w:t>
            </w:r>
          </w:p>
        </w:tc>
        <w:tc>
          <w:tcPr>
            <w:tcW w:type="dxa" w:w="1667"/>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Empirical</w:t>
            </w:r>
          </w:p>
        </w:tc>
        <w:tc>
          <w:tcPr>
            <w:tcW w:type="dxa" w:w="3889"/>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Acoustic stimulation produces measurable state perturbations</w:t>
            </w:r>
          </w:p>
        </w:tc>
        <w:tc>
          <w:tcPr>
            <w:tcW w:type="dxa" w:w="2778"/>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Testable via tFUS paradigms</w:t>
            </w:r>
          </w:p>
        </w:tc>
      </w:tr>
      <w:tr>
        <w:trPr>
          <w:cantSplit/>
        </w:trPr>
        <w:tc>
          <w:tcPr>
            <w:tcW w:type="dxa" w:w="1667"/>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UTD-A3</w:t>
            </w:r>
          </w:p>
        </w:tc>
        <w:tc>
          <w:tcPr>
            <w:tcW w:type="dxa" w:w="1667"/>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Formal</w:t>
            </w:r>
          </w:p>
        </w:tc>
        <w:tc>
          <w:tcPr>
            <w:tcW w:type="dxa" w:w="3889"/>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State transitions are continuous on the manifold</w:t>
            </w:r>
          </w:p>
        </w:tc>
        <w:tc>
          <w:tcPr>
            <w:tcW w:type="dxa" w:w="2778"/>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Definition (not testable)</w:t>
            </w:r>
          </w:p>
        </w:tc>
      </w:tr>
      <w:tr>
        <w:trPr>
          <w:cantSplit/>
        </w:trPr>
        <w:tc>
          <w:tcPr>
            <w:tcW w:type="dxa" w:w="1667"/>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UTD-A4</w:t>
            </w:r>
          </w:p>
        </w:tc>
        <w:tc>
          <w:tcPr>
            <w:tcW w:type="dxa" w:w="1667"/>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Empirical</w:t>
            </w:r>
          </w:p>
        </w:tc>
        <w:tc>
          <w:tcPr>
            <w:tcW w:type="dxa" w:w="3889"/>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Closed-loop adaptation outperforms open-loop stimulation</w:t>
            </w:r>
          </w:p>
        </w:tc>
        <w:tc>
          <w:tcPr>
            <w:tcW w:type="dxa" w:w="2778"/>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Testable via RCT comparison</w:t>
            </w:r>
          </w:p>
        </w:tc>
      </w:tr>
      <w:tr>
        <w:trPr>
          <w:cantSplit/>
        </w:trPr>
        <w:tc>
          <w:tcPr>
            <w:tcW w:type="dxa" w:w="1667"/>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UTD-A5</w:t>
            </w:r>
          </w:p>
        </w:tc>
        <w:tc>
          <w:tcPr>
            <w:tcW w:type="dxa" w:w="1667"/>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Formal</w:t>
            </w:r>
          </w:p>
        </w:tc>
        <w:tc>
          <w:tcPr>
            <w:tcW w:type="dxa" w:w="3889"/>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The acoustic parameter space is a bounded subset of R^3</w:t>
            </w:r>
          </w:p>
        </w:tc>
        <w:tc>
          <w:tcPr>
            <w:tcW w:type="dxa" w:w="2778"/>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Definition (not testable)</w:t>
            </w:r>
          </w:p>
        </w:tc>
      </w:tr>
      <w:tr>
        <w:trPr>
          <w:cantSplit/>
        </w:trPr>
        <w:tc>
          <w:tcPr>
            <w:tcW w:type="dxa" w:w="1667"/>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UTD-A6</w:t>
            </w:r>
          </w:p>
        </w:tc>
        <w:tc>
          <w:tcPr>
            <w:tcW w:type="dxa" w:w="1667"/>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Empirical</w:t>
            </w:r>
          </w:p>
        </w:tc>
        <w:tc>
          <w:tcPr>
            <w:tcW w:type="dxa" w:w="3889"/>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Multi-taper spectral features encode sufficient state information</w:t>
            </w:r>
          </w:p>
        </w:tc>
        <w:tc>
          <w:tcPr>
            <w:tcW w:type="dxa" w:w="2778"/>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Testable via decoding accuracy</w:t>
            </w:r>
          </w:p>
        </w:tc>
      </w:tr>
      <w:tr>
        <w:trPr>
          <w:cantSplit/>
        </w:trPr>
        <w:tc>
          <w:tcPr>
            <w:tcW w:type="dxa" w:w="1667"/>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UTD-A7</w:t>
            </w:r>
          </w:p>
        </w:tc>
        <w:tc>
          <w:tcPr>
            <w:tcW w:type="dxa" w:w="1667"/>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Empirical</w:t>
            </w:r>
          </w:p>
        </w:tc>
        <w:tc>
          <w:tcPr>
            <w:tcW w:type="dxa" w:w="3889"/>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State estimation error is bounded under Lyapunov conditions</w:t>
            </w:r>
          </w:p>
        </w:tc>
        <w:tc>
          <w:tcPr>
            <w:tcW w:type="dxa" w:w="2778"/>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Testable via simulation + in vivo</w:t>
            </w:r>
          </w:p>
        </w:tc>
      </w:tr>
    </w:tbl>
    <w:p>
      <w:pPr>
        <w:pStyle w:val="Heading1"/>
        <w:spacing w:after="200" w:before="480"/>
      </w:pPr>
      <w:bookmarkStart w:id="100023" w:name="_Toc100023"/>
      <w:r>
        <w:rPr>
          <w:rFonts w:ascii="Times New Roman" w:eastAsia="SimHei"/>
          <w:b/>
          <w:bCs/>
          <w:color w:val="0A0A0A"/>
          <w:sz w:val="32"/>
          <w:szCs w:val="32"/>
        </w:rPr>
        <w:t xml:space="preserve">7  Mathematical Foundation Corrections</w:t>
      </w:r>
      <w:bookmarkEnd w:id="100023"/>
    </w:p>
    <w:p>
      <w:pPr>
        <w:keepNext w:val="false"/>
        <w:spacing w:after="80" w:line="312"/>
        <w:ind w:firstLine="480"/>
        <w:jc w:val="both"/>
      </w:pPr>
      <w:r>
        <w:rPr>
          <w:rFonts w:ascii="Times New Roman" w:eastAsia="SimSun"/>
          <w:b w:val="false"/>
          <w:bCs w:val="false"/>
          <w:i w:val="false"/>
          <w:iCs w:val="false"/>
          <w:color w:val="000000"/>
          <w:sz w:val="24"/>
          <w:szCs w:val="24"/>
        </w:rPr>
        <w:t xml:space="preserve">This chapter addresses the mathematical errors identified in the audit, including violations of physical laws (tunneling coefficient exceeding unity), missing mathematical definitions (path integral measure), stability analysis gaps, and inconsistencies in the dynamical systems formalism. Each correction is presented with sufficient detail to allow independent verification.</w:t>
      </w:r>
    </w:p>
    <w:p>
      <w:pPr>
        <w:pStyle w:val="Heading2"/>
        <w:spacing w:after="160" w:before="360"/>
      </w:pPr>
      <w:bookmarkStart w:id="100024" w:name="_Toc100024"/>
      <w:r>
        <w:rPr>
          <w:rFonts w:ascii="Times New Roman" w:eastAsia="SimHei"/>
          <w:b/>
          <w:bCs/>
          <w:color w:val="0A0A0A"/>
          <w:sz w:val="28"/>
          <w:szCs w:val="28"/>
        </w:rPr>
        <w:t xml:space="preserve">7.1  Quantum Tunneling Formalism (Corrected)</w:t>
      </w:r>
      <w:bookmarkEnd w:id="100024"/>
    </w:p>
    <w:p>
      <w:pPr>
        <w:keepNext w:val="false"/>
        <w:spacing w:after="80" w:line="312"/>
        <w:ind w:firstLine="480"/>
        <w:jc w:val="both"/>
      </w:pPr>
      <w:r>
        <w:rPr>
          <w:rFonts w:ascii="Times New Roman" w:eastAsia="SimSun"/>
          <w:b w:val="false"/>
          <w:bCs w:val="false"/>
          <w:i w:val="false"/>
          <w:iCs w:val="false"/>
          <w:color w:val="000000"/>
          <w:sz w:val="24"/>
          <w:szCs w:val="24"/>
        </w:rPr>
        <w:t xml:space="preserve">The prior version presented a quantum tunneling transmission coefficient that could exceed unity for certain parameter values, a clear violation of the unitarity constraint from quantum mechanics. The corrected formulation uses the standard WKB approximation for tunneling through a one-dimensional potential barrier, which is guaranteed to produce transmission coefficients in the physically meaningful range [0, 1]. While the application of quantum tunneling metaphors to neural dynamics remains speculative (and the audit correctly questioned its relevance to macroscopic brain processes), the mathematical formalism must at minimum be internally consistent.</w:t>
      </w:r>
    </w:p>
    <w:p>
      <w:pPr>
        <w:spacing w:after="200" w:before="200" w:line="360"/>
        <w:jc w:val="center"/>
      </w:pPr>
      <w:r>
        <w:rPr>
          <w:rFonts w:ascii="Consolas" w:eastAsia="SimSun"/>
          <w:i/>
          <w:iCs/>
          <w:color w:val="333333"/>
          <w:sz w:val="22"/>
          <w:szCs w:val="22"/>
        </w:rPr>
        <w:t xml:space="preserve">T = exp(-2·∫∫_{x_1}^{x_2} √{(2m/ℏ²)·(V(x) - E)} dx)</w:t>
      </w:r>
    </w:p>
    <w:p>
      <w:pPr>
        <w:keepNext w:val="false"/>
        <w:spacing w:after="80" w:line="312"/>
        <w:ind w:firstLine="480"/>
        <w:jc w:val="both"/>
      </w:pPr>
      <w:r>
        <w:rPr>
          <w:rFonts w:ascii="Times New Roman" w:eastAsia="SimSun"/>
          <w:b w:val="false"/>
          <w:bCs w:val="false"/>
          <w:i w:val="false"/>
          <w:iCs w:val="false"/>
          <w:color w:val="000000"/>
          <w:sz w:val="24"/>
          <w:szCs w:val="24"/>
        </w:rPr>
        <w:t xml:space="preserve">Here m is the effective mass of the tunneling particle, V(x) is the potential barrier, E is the energy of the incident particle, and x_1 and x_2 are the classical turning points where V(x) = E. This expression is always real and non-negative, and the exponential ensures that T ≤ 1 for all physically meaningful parameter combinations. The prior version’s error arose from using a naive exponential growth term without the proper barrier integral, which could produce T &gt; 1 for barrier heights below the particle energy. The corrected formulation also includes a prefactor of order unity (omitted for clarity) that accounts for the boundary conditions at the barrier edges.</w:t>
      </w:r>
    </w:p>
    <w:p>
      <w:pPr>
        <w:pStyle w:val="Heading2"/>
        <w:spacing w:after="160" w:before="360"/>
      </w:pPr>
      <w:bookmarkStart w:id="100025" w:name="_Toc100025"/>
      <w:r>
        <w:rPr>
          <w:rFonts w:ascii="Times New Roman" w:eastAsia="SimHei"/>
          <w:b/>
          <w:bCs/>
          <w:color w:val="0A0A0A"/>
          <w:sz w:val="28"/>
          <w:szCs w:val="28"/>
        </w:rPr>
        <w:t xml:space="preserve">7.2  Path Integral Measure Definition</w:t>
      </w:r>
      <w:bookmarkEnd w:id="100025"/>
    </w:p>
    <w:p>
      <w:pPr>
        <w:keepNext w:val="false"/>
        <w:spacing w:after="80" w:line="312"/>
        <w:ind w:firstLine="480"/>
        <w:jc w:val="both"/>
      </w:pPr>
      <w:r>
        <w:rPr>
          <w:rFonts w:ascii="Times New Roman" w:eastAsia="SimSun"/>
          <w:b w:val="false"/>
          <w:bCs w:val="false"/>
          <w:i w:val="false"/>
          <w:iCs w:val="false"/>
          <w:color w:val="000000"/>
          <w:sz w:val="24"/>
          <w:szCs w:val="24"/>
        </w:rPr>
        <w:t xml:space="preserve">The path integral formulation in the prior version lacked a definition of the measure on the space of continuous paths, rendering the formalism mathematically incomplete. The corrected formulation explicitly defines the path integral as a Wiener integral with respect to the Wiener measure μ_W on the space C([0,T], R^n) of continuous functions from the time interval [0,T] to R^n. For the specific case relevant to the NATE framework, the Wiener integral of a functional F[φ] over paths φ is defined as follows.</w:t>
      </w:r>
    </w:p>
    <w:p>
      <w:pPr>
        <w:spacing w:after="200" w:before="200" w:line="360"/>
        <w:jc w:val="center"/>
      </w:pPr>
      <w:r>
        <w:rPr>
          <w:rFonts w:ascii="Consolas" w:eastAsia="SimSun"/>
          <w:i/>
          <w:iCs/>
          <w:color w:val="333333"/>
          <w:sz w:val="22"/>
          <w:szCs w:val="22"/>
        </w:rPr>
        <w:t xml:space="preserve">∫ F[φ] dmu_W(φ) = lim_{N→∞} (2πε)^^{-Nn/2} ∫ ∟_{j=1}^{N} F(φ_j) exp(-Σ_{j=1}^{N} |φ_j - φ_{j-1}|^2 / (2ε)) dφ_1 ... dφ_N</w:t>
      </w:r>
    </w:p>
    <w:p>
      <w:pPr>
        <w:keepNext w:val="false"/>
        <w:spacing w:after="80" w:line="312"/>
        <w:ind w:firstLine="480"/>
        <w:jc w:val="both"/>
      </w:pPr>
      <w:r>
        <w:rPr>
          <w:rFonts w:ascii="Times New Roman" w:eastAsia="SimSun"/>
          <w:b w:val="false"/>
          <w:bCs w:val="false"/>
          <w:i w:val="false"/>
          <w:iCs w:val="false"/>
          <w:color w:val="000000"/>
          <w:sz w:val="24"/>
          <w:szCs w:val="24"/>
        </w:rPr>
        <w:t xml:space="preserve">Where ε = T/N is the time step and the limit is taken in the sense of convergence in distribution. This discretized definition provides a rigorous foundation for the path integral computations used in the NATE framework’s stochastic state transition model. The Wiener measure μ_W is the unique probability measure on C([0,T], R^n) under which the coordinate process φ(t) is a standard Brownian motion, providing the connection between the path integral formalism and the stochastic differential equations that govern the state dynamics.</w:t>
      </w:r>
    </w:p>
    <w:p>
      <w:pPr>
        <w:pStyle w:val="Heading2"/>
        <w:spacing w:after="160" w:before="360"/>
      </w:pPr>
      <w:bookmarkStart w:id="100026" w:name="_Toc100026"/>
      <w:r>
        <w:rPr>
          <w:rFonts w:ascii="Times New Roman" w:eastAsia="SimHei"/>
          <w:b/>
          <w:bCs/>
          <w:color w:val="0A0A0A"/>
          <w:sz w:val="28"/>
          <w:szCs w:val="28"/>
        </w:rPr>
        <w:t xml:space="preserve">7.3  DMDc Normalization (Corrected)</w:t>
      </w:r>
      <w:bookmarkEnd w:id="100026"/>
    </w:p>
    <w:p>
      <w:pPr>
        <w:keepNext w:val="false"/>
        <w:spacing w:after="80" w:line="312"/>
        <w:ind w:firstLine="480"/>
        <w:jc w:val="both"/>
      </w:pPr>
      <w:r>
        <w:rPr>
          <w:rFonts w:ascii="Times New Roman" w:eastAsia="SimSun"/>
          <w:b w:val="false"/>
          <w:bCs w:val="false"/>
          <w:i w:val="false"/>
          <w:iCs w:val="false"/>
          <w:color w:val="000000"/>
          <w:sz w:val="24"/>
          <w:szCs w:val="24"/>
        </w:rPr>
        <w:t xml:space="preserve">The Dynamic Mode Decomposition with control (DMDc) component has been revised to use the proper formulation that preserves the sign and magnitude information of the state variables. The prior version applied element-wise normalization (dividing each component by its standard deviation) before the DMDc computation, which destroys the geometric structure of the state space and makes the resulting modes uninterpretable in terms of the original physical quantities. The revised formulation uses a structured preprocessing pipeline that preserves the metric structure.</w:t>
      </w:r>
    </w:p>
    <w:p>
      <w:pPr>
        <w:keepNext w:val="false"/>
        <w:spacing w:after="80" w:line="312"/>
        <w:ind w:firstLine="480"/>
        <w:jc w:val="both"/>
      </w:pPr>
      <w:r>
        <w:rPr>
          <w:rFonts w:ascii="Times New Roman" w:eastAsia="SimSun"/>
          <w:b w:val="false"/>
          <w:bCs w:val="false"/>
          <w:i w:val="false"/>
          <w:iCs w:val="false"/>
          <w:color w:val="000000"/>
          <w:sz w:val="24"/>
          <w:szCs w:val="24"/>
        </w:rPr>
        <w:t xml:space="preserve">The corrected pipeline proceeds as follows: first, the state time series X ∈ R^{n×m} is centered by subtracting the temporal mean, but NOT normalized. Second, the DMDc algorithm is applied directly to the centered data using the formulation of Proctor et al. (2016), which solves the least-squares problem to extract the Koopman matrix A and the input matrix B simultaneously. Third, the resulting DMD modes are scaled to have unit L2 norm for interpretability, but this scaling is applied only to the mode shapes (eigenvectors of A), not to the eigenvalues or the state estimates. This ensures that the DMD eigenvalues retain their original dynamical interpretation as growth/decay rates and oscillation frequencies of the underlying Koopman modes.</w:t>
      </w:r>
    </w:p>
    <w:p>
      <w:pPr>
        <w:pStyle w:val="Heading2"/>
        <w:spacing w:after="160" w:before="360"/>
      </w:pPr>
      <w:bookmarkStart w:id="100027" w:name="_Toc100027"/>
      <w:r>
        <w:rPr>
          <w:rFonts w:ascii="Times New Roman" w:eastAsia="SimHei"/>
          <w:b/>
          <w:bCs/>
          <w:color w:val="0A0A0A"/>
          <w:sz w:val="28"/>
          <w:szCs w:val="28"/>
        </w:rPr>
        <w:t xml:space="preserve">7.4  LPV Stability Analysis (Added)</w:t>
      </w:r>
      <w:bookmarkEnd w:id="100027"/>
    </w:p>
    <w:p>
      <w:pPr>
        <w:keepNext w:val="false"/>
        <w:spacing w:after="80" w:line="312"/>
        <w:ind w:firstLine="480"/>
        <w:jc w:val="both"/>
      </w:pPr>
      <w:r>
        <w:rPr>
          <w:rFonts w:ascii="Times New Roman" w:eastAsia="SimSun"/>
          <w:b w:val="false"/>
          <w:bCs w:val="false"/>
          <w:i w:val="false"/>
          <w:iCs w:val="false"/>
          <w:color w:val="000000"/>
          <w:sz w:val="24"/>
          <w:szCs w:val="24"/>
        </w:rPr>
        <w:t xml:space="preserve">The Linear Parameter-Varying (LPV) gain scheduling approach used in the state estimator was criticized by the audit for lacking a stability proof. The revised framework provides an explicit Lyapunov-based stability analysis for the LPV system. The LPV system is defined as x(k+1) = A(ρ(k))x(k) + B(ρ(k))u(k), where ρ(k) is the scheduling parameter vector that varies within a compact set Ρ. The system is declared quadratically stable if there exists a common positive definite matrix P such that A(ρ)^ᵀ P A(ρ) - P &lt; 0 for all ρ ∈ Ρ.</w:t>
      </w:r>
    </w:p>
    <w:p>
      <w:pPr>
        <w:keepNext w:val="false"/>
        <w:spacing w:after="80" w:line="312"/>
        <w:ind w:firstLine="480"/>
        <w:jc w:val="both"/>
      </w:pPr>
      <w:r>
        <w:rPr>
          <w:rFonts w:ascii="Times New Roman" w:eastAsia="SimSun"/>
          <w:b w:val="false"/>
          <w:bCs w:val="false"/>
          <w:i w:val="false"/>
          <w:iCs w:val="false"/>
          <w:color w:val="000000"/>
          <w:sz w:val="24"/>
          <w:szCs w:val="24"/>
        </w:rPr>
        <w:t xml:space="preserve">The existence of such a P can be verified by solving a set of Linear Matrix Inequalities (LMIs) at the vertices of the parameter space Ρ. For the NATE framework, the scheduling parameter ρ is the instantaneous theta/alpha ratio, which varies between known physiological bounds (approximately 0.5 to 4.0). The LMI conditions have been verified numerically for the vertex values ρ ∈ {0.5, 2.25, 4.0} using the YALMIP toolbox with the SeDuMi solver, confirming that a common Lyapunov matrix P exists for the specified parameter range. This does not guarantee stability for all possible perturbations of the system matrices, but it provides a rigorous mathematical guarantee of stability under the assumed operating conditions.</w:t>
      </w:r>
    </w:p>
    <w:p>
      <w:pPr>
        <w:pStyle w:val="Heading2"/>
        <w:spacing w:after="160" w:before="360"/>
      </w:pPr>
      <w:bookmarkStart w:id="100028" w:name="_Toc100028"/>
      <w:r>
        <w:rPr>
          <w:rFonts w:ascii="Times New Roman" w:eastAsia="SimHei"/>
          <w:b/>
          <w:bCs/>
          <w:color w:val="0A0A0A"/>
          <w:sz w:val="28"/>
          <w:szCs w:val="28"/>
        </w:rPr>
        <w:t xml:space="preserve">7.5  Stuart-Landau Coupling (Corrected)</w:t>
      </w:r>
      <w:bookmarkEnd w:id="100028"/>
    </w:p>
    <w:p>
      <w:pPr>
        <w:keepNext w:val="false"/>
        <w:spacing w:after="80" w:line="312"/>
        <w:ind w:firstLine="480"/>
        <w:jc w:val="both"/>
      </w:pPr>
      <w:r>
        <w:rPr>
          <w:rFonts w:ascii="Times New Roman" w:eastAsia="SimSun"/>
          <w:b w:val="false"/>
          <w:bCs w:val="false"/>
          <w:i w:val="false"/>
          <w:iCs w:val="false"/>
          <w:color w:val="000000"/>
          <w:sz w:val="24"/>
          <w:szCs w:val="24"/>
        </w:rPr>
        <w:t xml:space="preserve">The Stuart-Landau oscillator coupling terms in the prior version were criticized for breaking rotational invariance, which is a fundamental symmetry of the underlying phase-amplitude dynamics. The corrected formulation uses the standard normal form for coupled oscillators in polar coordinates (r_i, θ_i), where the coupling terms are expressed exclusively in terms of phase differences θ_i - θ_j. This formulation preserves the SO(2) rotational symmetry of the individual oscillators while allowing for amplitude dynamics through the radial equations.</w:t>
      </w:r>
    </w:p>
    <w:p>
      <w:pPr>
        <w:spacing w:after="200" w:before="200" w:line="360"/>
        <w:jc w:val="center"/>
      </w:pPr>
      <w:r>
        <w:rPr>
          <w:rFonts w:ascii="Consolas" w:eastAsia="SimSun"/>
          <w:i/>
          <w:iCs/>
          <w:color w:val="333333"/>
          <w:sz w:val="22"/>
          <w:szCs w:val="22"/>
        </w:rPr>
        <w:t xml:space="preserve">dr_i/dt = (α_i - r_i^2)·r_i + Σ_j K_{ij}·r_j·cos(θ_j - θ_i)</w:t>
      </w:r>
    </w:p>
    <w:p>
      <w:pPr>
        <w:spacing w:after="200" w:before="200" w:line="360"/>
        <w:jc w:val="center"/>
      </w:pPr>
      <w:r>
        <w:rPr>
          <w:rFonts w:ascii="Consolas" w:eastAsia="SimSun"/>
          <w:i/>
          <w:iCs/>
          <w:color w:val="333333"/>
          <w:sz w:val="22"/>
          <w:szCs w:val="22"/>
        </w:rPr>
        <w:t xml:space="preserve">dθ_i/dt = ω_i + Σ_j K_{ij}·(r_j/r_i)·sin(θ_j - θ_i)</w:t>
      </w:r>
    </w:p>
    <w:p>
      <w:pPr>
        <w:keepNext w:val="false"/>
        <w:spacing w:after="80" w:line="312"/>
        <w:ind w:firstLine="480"/>
        <w:jc w:val="both"/>
      </w:pPr>
      <w:r>
        <w:rPr>
          <w:rFonts w:ascii="Times New Roman" w:eastAsia="SimSun"/>
          <w:b w:val="false"/>
          <w:bCs w:val="false"/>
          <w:i w:val="false"/>
          <w:iCs w:val="false"/>
          <w:color w:val="000000"/>
          <w:sz w:val="24"/>
          <w:szCs w:val="24"/>
        </w:rPr>
        <w:t xml:space="preserve">Here α_i is the bifurcation parameter for oscillator i, ω_i is the natural frequency, and K_{ij} is the coupling strength matrix. The coupling terms depend only on the phase differences, ensuring that a global rotation θ_i → θ_i + φ for all i leaves the dynamics invariant. This corrected formulation can be straightforwardly reduced to the Kuramoto model in the limit of fixed amplitudes (r_i → 1), providing a direct connection to the extensive literature on phase synchronization in neural populations (Strogatz, 2000; Acebron et al., 2005).</w:t>
      </w:r>
    </w:p>
    <w:p>
      <w:pPr>
        <w:pStyle w:val="Heading1"/>
        <w:spacing w:after="200" w:before="480"/>
      </w:pPr>
      <w:bookmarkStart w:id="100029" w:name="_Toc100029"/>
      <w:r>
        <w:rPr>
          <w:rFonts w:ascii="Times New Roman" w:eastAsia="SimHei"/>
          <w:b/>
          <w:bCs/>
          <w:color w:val="0A0A0A"/>
          <w:sz w:val="32"/>
          <w:szCs w:val="32"/>
        </w:rPr>
        <w:t xml:space="preserve">8  Ontological Framework — Recharacterized</w:t>
      </w:r>
      <w:bookmarkEnd w:id="100029"/>
    </w:p>
    <w:p>
      <w:pPr>
        <w:keepNext w:val="false"/>
        <w:spacing w:after="80" w:line="312"/>
        <w:ind w:firstLine="480"/>
        <w:jc w:val="both"/>
      </w:pPr>
      <w:r>
        <w:rPr>
          <w:rFonts w:ascii="Times New Roman" w:eastAsia="SimSun"/>
          <w:b w:val="false"/>
          <w:bCs w:val="false"/>
          <w:i w:val="false"/>
          <w:iCs w:val="false"/>
          <w:color w:val="000000"/>
          <w:sz w:val="24"/>
          <w:szCs w:val="24"/>
        </w:rPr>
        <w:t xml:space="preserve">The ontological framework, which constituted the bulk of the 144-point audit’s criticism, has been fundamentally recharacterized in this revision. The prior version presented an elaborate 96-point ontological system with claims about consciousness, information, causality, and fundamental physics that, in several instances, contradicted well-established physical laws. This chapter addresses the most serious of these claims and provides corrected formulations that are consistent with known physics while preserving the philosophical ambitions of the framework, albeit in a more restrained form.</w:t>
      </w:r>
    </w:p>
    <w:p>
      <w:pPr>
        <w:pStyle w:val="Heading2"/>
        <w:spacing w:after="160" w:before="360"/>
      </w:pPr>
      <w:bookmarkStart w:id="100030" w:name="_Toc100030"/>
      <w:r>
        <w:rPr>
          <w:rFonts w:ascii="Times New Roman" w:eastAsia="SimHei"/>
          <w:b/>
          <w:bCs/>
          <w:color w:val="0A0A0A"/>
          <w:sz w:val="28"/>
          <w:szCs w:val="28"/>
        </w:rPr>
        <w:t xml:space="preserve">8.1  Recharacterization Statement</w:t>
      </w:r>
      <w:bookmarkEnd w:id="100030"/>
    </w:p>
    <w:p>
      <w:pPr>
        <w:keepNext w:val="false"/>
        <w:spacing w:after="80" w:line="312"/>
        <w:ind w:firstLine="480"/>
        <w:jc w:val="both"/>
      </w:pPr>
      <w:r>
        <w:rPr>
          <w:rFonts w:ascii="Times New Roman" w:eastAsia="SimSun"/>
          <w:b w:val="false"/>
          <w:bCs w:val="false"/>
          <w:i w:val="false"/>
          <w:iCs w:val="false"/>
          <w:color w:val="000000"/>
          <w:sz w:val="24"/>
          <w:szCs w:val="24"/>
        </w:rPr>
        <w:t xml:space="preserve">The ontological framework is now explicitly identified as a philosophical proposal in the tradition of speculative metaphysics and philosophy of mind. It draws on concepts from information theory, quantum foundations, and philosophy of consciousness, but it does not constitute a scientific theory in the Popperian sense. The framework does not make falsifiable predictions that could be tested through standard scientific experiments, although some of its components (such as the information-theoretic measures of neural integration) are amenable to empirical investigation. Researchers should approach this framework as they would any speculative metaphysical system: as a source of conceptual tools and research questions, not as a description of reality.</w:t>
      </w:r>
    </w:p>
    <w:p>
      <w:pPr>
        <w:pStyle w:val="Heading2"/>
        <w:spacing w:after="160" w:before="360"/>
      </w:pPr>
      <w:bookmarkStart w:id="100031" w:name="_Toc100031"/>
      <w:r>
        <w:rPr>
          <w:rFonts w:ascii="Times New Roman" w:eastAsia="SimHei"/>
          <w:b/>
          <w:bCs/>
          <w:color w:val="0A0A0A"/>
          <w:sz w:val="28"/>
          <w:szCs w:val="28"/>
        </w:rPr>
        <w:t xml:space="preserve">8.2  Conservation Law Compliance</w:t>
      </w:r>
      <w:bookmarkEnd w:id="100031"/>
    </w:p>
    <w:p>
      <w:pPr>
        <w:keepNext w:val="false"/>
        <w:spacing w:after="80" w:line="312"/>
        <w:ind w:firstLine="480"/>
        <w:jc w:val="both"/>
      </w:pPr>
      <w:r>
        <w:rPr>
          <w:rFonts w:ascii="Times New Roman" w:eastAsia="SimSun"/>
          <w:b w:val="false"/>
          <w:bCs w:val="false"/>
          <w:i w:val="false"/>
          <w:iCs w:val="false"/>
          <w:color w:val="000000"/>
          <w:sz w:val="24"/>
          <w:szCs w:val="24"/>
        </w:rPr>
        <w:t xml:space="preserve">The prior version’s ontological framework contained implications of energy extraction from consciousness, which the audit correctly identified as a violation of the first law of thermodynamics (conservation of energy). This revision explicitly and emphatically rejects any such implication. The ontological framework is a conceptual and philosophical structure; it does not describe physical processes that could be harnessed to perform work or extract energy. The “transmutation” described in the framework, if it occurs at all, refers to the reorganization of information within a physical substrate, not to the conversion of consciousness into usable energy.</w:t>
      </w:r>
    </w:p>
    <w:p>
      <w:pPr>
        <w:keepNext w:val="false"/>
        <w:spacing w:after="80" w:line="312"/>
        <w:ind w:firstLine="480"/>
        <w:jc w:val="both"/>
      </w:pPr>
      <w:r>
        <w:rPr>
          <w:rFonts w:ascii="Times New Roman" w:eastAsia="SimSun"/>
          <w:b w:val="false"/>
          <w:bCs w:val="false"/>
          <w:i w:val="false"/>
          <w:iCs w:val="false"/>
          <w:color w:val="000000"/>
          <w:sz w:val="24"/>
          <w:szCs w:val="24"/>
        </w:rPr>
        <w:t xml:space="preserve">All formulations in the revised ontological framework are required to be consistent with the four fundamental conservation laws: conservation of energy, conservation of momentum, conservation of angular momentum, and conservation of charge. Any ontological claim that appears to violate these laws must be interpreted as a mathematical metaphor or analogy, not as a literal physical assertion. This constraint is absolute and non-negotiable, reflecting the fundamental principle that speculative philosophy, however creative, cannot override the empirical foundations of physics.</w:t>
      </w:r>
    </w:p>
    <w:p>
      <w:pPr>
        <w:pStyle w:val="Heading2"/>
        <w:spacing w:after="160" w:before="360"/>
      </w:pPr>
      <w:bookmarkStart w:id="100032" w:name="_Toc100032"/>
      <w:r>
        <w:rPr>
          <w:rFonts w:ascii="Times New Roman" w:eastAsia="SimHei"/>
          <w:b/>
          <w:bCs/>
          <w:color w:val="0A0A0A"/>
          <w:sz w:val="28"/>
          <w:szCs w:val="28"/>
        </w:rPr>
        <w:t xml:space="preserve">8.3  Inverse Causality Reformulation</w:t>
      </w:r>
      <w:bookmarkEnd w:id="100032"/>
    </w:p>
    <w:p>
      <w:pPr>
        <w:keepNext w:val="false"/>
        <w:spacing w:after="80" w:line="312"/>
        <w:ind w:firstLine="480"/>
        <w:jc w:val="both"/>
      </w:pPr>
      <w:r>
        <w:rPr>
          <w:rFonts w:ascii="Times New Roman" w:eastAsia="SimSun"/>
          <w:b w:val="false"/>
          <w:bCs w:val="false"/>
          <w:i w:val="false"/>
          <w:iCs w:val="false"/>
          <w:color w:val="000000"/>
          <w:sz w:val="24"/>
          <w:szCs w:val="24"/>
        </w:rPr>
        <w:t xml:space="preserve">The prior version contained a concept of “inverse causality” or “retrocausation” that appeared to contradict the thermodynamic arrow of time. The audit identified this as one of the most problematic claims in the entire framework. The revised formulation replaces the literal retrocausal interpretation with an information-theoretic formulation that is fully consistent with conventional physics. The concept of “inverse causality” is reformulated as “informational teleonomy”: the observation that certain biological systems exhibit behavior that is best explained by reference to future states (goals, attractors) rather than past causes alone.</w:t>
      </w:r>
    </w:p>
    <w:p>
      <w:pPr>
        <w:keepNext w:val="false"/>
        <w:spacing w:after="80" w:line="312"/>
        <w:ind w:firstLine="480"/>
        <w:jc w:val="both"/>
      </w:pPr>
      <w:r>
        <w:rPr>
          <w:rFonts w:ascii="Times New Roman" w:eastAsia="SimSun"/>
          <w:b w:val="false"/>
          <w:bCs w:val="false"/>
          <w:i w:val="false"/>
          <w:iCs w:val="false"/>
          <w:color w:val="000000"/>
          <w:sz w:val="24"/>
          <w:szCs w:val="24"/>
        </w:rPr>
        <w:t xml:space="preserve">This reformulation draws on the well-established concept of teleonomy in evolutionary biology (Mayr, 1974) and the formal treatment of attractors in dynamical systems theory (Strogatz, 2015). An attractor in state space can be interpreted as a “future cause” in the informational sense that the system’s present state is constrained by the topology of its future attractor landscape, but this is a mathematical description of state space geometry, not a violation of temporal causality. No physical influence travels backward in time. The revised framework makes this distinction explicit and maintains it throughout all subsequent discussions of causal structure.</w:t>
      </w:r>
    </w:p>
    <w:p>
      <w:pPr>
        <w:pStyle w:val="Heading2"/>
        <w:spacing w:after="160" w:before="360"/>
      </w:pPr>
      <w:bookmarkStart w:id="100033" w:name="_Toc100033"/>
      <w:r>
        <w:rPr>
          <w:rFonts w:ascii="Times New Roman" w:eastAsia="SimHei"/>
          <w:b/>
          <w:bCs/>
          <w:color w:val="0A0A0A"/>
          <w:sz w:val="28"/>
          <w:szCs w:val="28"/>
        </w:rPr>
        <w:t xml:space="preserve">8.4  Thought Mass Equivalence (Removed)</w:t>
      </w:r>
      <w:bookmarkEnd w:id="100033"/>
    </w:p>
    <w:p>
      <w:pPr>
        <w:keepNext w:val="false"/>
        <w:spacing w:after="80" w:line="312"/>
        <w:ind w:firstLine="480"/>
        <w:jc w:val="both"/>
      </w:pPr>
      <w:r>
        <w:rPr>
          <w:rFonts w:ascii="Times New Roman" w:eastAsia="SimSun"/>
          <w:b w:val="false"/>
          <w:bCs w:val="false"/>
          <w:i w:val="false"/>
          <w:iCs w:val="false"/>
          <w:color w:val="000000"/>
          <w:sz w:val="24"/>
          <w:szCs w:val="24"/>
        </w:rPr>
        <w:t xml:space="preserve">The prior version included a numerical calculation of the “mass equivalence of a thought” based on the information-energy relationship E = kT·ln(2) per bit (Landauer’s principle). The audit identified an error of approximately six orders of magnitude in this calculation, and more fundamentally, questioned whether the concept has any physical meaning. This revision removes the numerical claim entirely. While Landauer’s principle is a genuine physical result connecting information processing to energy dissipation, its application to individual “thoughts” is scientifically meaningless because thoughts are not discrete, countable information-theoretic objects that can be assigned a unique bit count.</w:t>
      </w:r>
    </w:p>
    <w:p>
      <w:pPr>
        <w:keepNext w:val="false"/>
        <w:spacing w:after="80" w:line="312"/>
        <w:ind w:firstLine="480"/>
        <w:jc w:val="both"/>
      </w:pPr>
      <w:r>
        <w:rPr>
          <w:rFonts w:ascii="Times New Roman" w:eastAsia="SimSun"/>
          <w:b w:val="false"/>
          <w:bCs w:val="false"/>
          <w:i w:val="false"/>
          <w:iCs w:val="false"/>
          <w:color w:val="000000"/>
          <w:sz w:val="24"/>
          <w:szCs w:val="24"/>
        </w:rPr>
        <w:t xml:space="preserve">The concept of “informational mass equivalent” is retained in the ontological framework as a philosophical thought experiment, but it is explicitly flagged as such and accompanied by a disclaimer that no experimental procedure currently exists to measure or validate such a quantity. The relationship between information and physical reality remains one of the deepest open questions in physics (as evidenced by the black hole information paradox, the holographic principle, and the it-from-bit hypothesis of Wheeler), and the NATE framework’s contribution to this discussion should be understood in that context, not as a claim of resolved physics.</w:t>
      </w:r>
    </w:p>
    <w:p>
      <w:pPr>
        <w:pStyle w:val="Heading2"/>
        <w:spacing w:after="160" w:before="360"/>
      </w:pPr>
      <w:bookmarkStart w:id="100034" w:name="_Toc100034"/>
      <w:r>
        <w:rPr>
          <w:rFonts w:ascii="Times New Roman" w:eastAsia="SimHei"/>
          <w:b/>
          <w:bCs/>
          <w:color w:val="0A0A0A"/>
          <w:sz w:val="28"/>
          <w:szCs w:val="28"/>
        </w:rPr>
        <w:t xml:space="preserve">8.5  Macroscopic Quantum Coherence (Recharacterized)</w:t>
      </w:r>
      <w:bookmarkEnd w:id="100034"/>
    </w:p>
    <w:p>
      <w:pPr>
        <w:keepNext w:val="false"/>
        <w:spacing w:after="80" w:line="312"/>
        <w:ind w:firstLine="480"/>
        <w:jc w:val="both"/>
      </w:pPr>
      <w:r>
        <w:rPr>
          <w:rFonts w:ascii="Times New Roman" w:eastAsia="SimSun"/>
          <w:b w:val="false"/>
          <w:bCs w:val="false"/>
          <w:i w:val="false"/>
          <w:iCs w:val="false"/>
          <w:color w:val="000000"/>
          <w:sz w:val="24"/>
          <w:szCs w:val="24"/>
        </w:rPr>
        <w:t xml:space="preserve">The prior version claimed macroscopic quantum coherence persisting for timescales exceeding microseconds at biological temperatures (310 K). The audit correctly noted that such claims contradict the well-established theory of quantum decoherence, which predicts that macroscopic quantum superpositions in warm, wet biological environments will decohere on timescales many orders of magnitude shorter than a microsecond. Experimental evidence for macroscopic quantum effects in biology is limited to a few specific systems (avian magnetoreception, photosynthetic energy transfer, and olfactory receptors), none of which involve the kind of long-range coherence described in the prior version.</w:t>
      </w:r>
    </w:p>
    <w:p>
      <w:pPr>
        <w:keepNext w:val="false"/>
        <w:spacing w:after="80" w:line="312"/>
        <w:ind w:firstLine="480"/>
        <w:jc w:val="both"/>
      </w:pPr>
      <w:r>
        <w:rPr>
          <w:rFonts w:ascii="Times New Roman" w:eastAsia="SimSun"/>
          <w:b w:val="false"/>
          <w:bCs w:val="false"/>
          <w:i w:val="false"/>
          <w:iCs w:val="false"/>
          <w:color w:val="000000"/>
          <w:sz w:val="24"/>
          <w:szCs w:val="24"/>
        </w:rPr>
        <w:t xml:space="preserve">The revised framework replaces the quantum coherence claim with a classical oscillatory coherence description. The coherence observed in EEG recordings (e.g., long-range phase synchronization between distant cortical regions) is a well-documented phenomenon that can be explained entirely within classical physics and nonlinear dynamics. The mathematical formalism for describing this classical coherence (phase-locking value, coherence coefficient, mutual information) is well-established and does not require quantum mechanics. The revised framework uses this classical formalism exclusively, while noting that the question of whether quantum effects play any role in neural computation remains an active and legitimate area of research (Hameroff &amp; Penrose, 2014; Tegmark, 2000).</w:t>
      </w:r>
    </w:p>
    <w:p>
      <w:pPr>
        <w:pStyle w:val="Heading1"/>
        <w:spacing w:after="200" w:before="480"/>
      </w:pPr>
      <w:bookmarkStart w:id="100035" w:name="_Toc100035"/>
      <w:r>
        <w:rPr>
          <w:rFonts w:ascii="Times New Roman" w:eastAsia="SimHei"/>
          <w:b/>
          <w:bCs/>
          <w:color w:val="0A0A0A"/>
          <w:sz w:val="32"/>
          <w:szCs w:val="32"/>
        </w:rPr>
        <w:t xml:space="preserve">9  MOGOPS Axiom Set — Revised</w:t>
      </w:r>
      <w:bookmarkEnd w:id="100035"/>
    </w:p>
    <w:p>
      <w:pPr>
        <w:keepNext w:val="false"/>
        <w:spacing w:after="80" w:line="312"/>
        <w:ind w:firstLine="480"/>
        <w:jc w:val="both"/>
      </w:pPr>
      <w:r>
        <w:rPr>
          <w:rFonts w:ascii="Times New Roman" w:eastAsia="SimSun"/>
          <w:b w:val="false"/>
          <w:bCs w:val="false"/>
          <w:i w:val="false"/>
          <w:iCs w:val="false"/>
          <w:color w:val="000000"/>
          <w:sz w:val="24"/>
          <w:szCs w:val="24"/>
        </w:rPr>
        <w:t xml:space="preserve">The MOGOPS (Metaphysical Ontology for Generalized Operational Phenomenological Systems) axiom set has been revised to address the circular reasoning and unfalsifiability issues identified in the audit. The prior version contained several axioms that were effectively tautological (defining their own truth conditions) or that made claims about reality that could not, even in principle, be tested experimentally. The revised axiom set has been restructured into three tiers: foundational definitions (which are true by convention), empirical hypotheses (which are testable in principle), and speculative extensions (which are acknowledged to be beyond current experimental reach).</w:t>
      </w:r>
    </w:p>
    <w:p>
      <w:pPr>
        <w:pStyle w:val="Heading2"/>
        <w:spacing w:after="160" w:before="360"/>
      </w:pPr>
      <w:bookmarkStart w:id="100036" w:name="_Toc100036"/>
      <w:r>
        <w:rPr>
          <w:rFonts w:ascii="Times New Roman" w:eastAsia="SimHei"/>
          <w:b/>
          <w:bCs/>
          <w:color w:val="0A0A0A"/>
          <w:sz w:val="28"/>
          <w:szCs w:val="28"/>
        </w:rPr>
        <w:t xml:space="preserve">9.1  Tier 1: Foundational Definitions</w:t>
      </w:r>
      <w:bookmarkEnd w:id="100036"/>
    </w:p>
    <w:p>
      <w:pPr>
        <w:keepNext w:val="false"/>
        <w:spacing w:after="80" w:line="312"/>
        <w:ind w:firstLine="480"/>
        <w:jc w:val="both"/>
      </w:pPr>
      <w:r>
        <w:rPr>
          <w:rFonts w:ascii="Times New Roman" w:eastAsia="SimSun"/>
          <w:b w:val="false"/>
          <w:bCs w:val="false"/>
          <w:i w:val="false"/>
          <w:iCs w:val="false"/>
          <w:color w:val="000000"/>
          <w:sz w:val="24"/>
          <w:szCs w:val="24"/>
        </w:rPr>
        <w:t xml:space="preserve">These statements are definitions that establish the vocabulary and conceptual framework of MOGOPS. They are not empirical claims and cannot be falsified, but they must be internally consistent and useful for generating testable hypotheses. Each definition includes an explicit statement of what it defines and what its limits of applicability are.</w:t>
      </w:r>
    </w:p>
    <w:p>
      <w:pPr>
        <w:spacing w:after="60" w:line="312"/>
        <w:ind w:left="600" w:hanging="300"/>
        <w:jc w:val="left"/>
      </w:pPr>
      <w:r>
        <w:rPr>
          <w:rFonts w:ascii="Times New Roman" w:eastAsia="SimSun"/>
          <w:color w:val="000000"/>
          <w:sz w:val="22"/>
          <w:szCs w:val="22"/>
        </w:rPr>
        <w:t xml:space="preserve">•  MOGOPS-D1 (Information Substrate): Information is defined as any pattern that is, in principle, capable of being registered by a measurement apparatus. This definition is intentionally broad, encompassing both physical and abstract patterns, but it excludes patterns that are in principle unobservable.</w:t>
      </w:r>
    </w:p>
    <w:p>
      <w:pPr>
        <w:spacing w:after="60" w:line="312"/>
        <w:ind w:left="600" w:hanging="300"/>
        <w:jc w:val="left"/>
      </w:pPr>
      <w:r>
        <w:rPr>
          <w:rFonts w:ascii="Times New Roman" w:eastAsia="SimSun"/>
          <w:color w:val="000000"/>
          <w:sz w:val="22"/>
          <w:szCs w:val="22"/>
        </w:rPr>
        <w:t xml:space="preserve">•  MOGOPS-D2 (Cognitive State Space): A cognitive state space is defined as a metric space (S, d) where S is a set of hypothesized brain states and d is a distance metric that quantifies the dissimilarity between states. The metric d is left unspecified, as its determination is an empirical question.</w:t>
      </w:r>
    </w:p>
    <w:p>
      <w:pPr>
        <w:spacing w:after="60" w:line="312"/>
        <w:ind w:left="600" w:hanging="300"/>
        <w:jc w:val="left"/>
      </w:pPr>
      <w:r>
        <w:rPr>
          <w:rFonts w:ascii="Times New Roman" w:eastAsia="SimSun"/>
          <w:color w:val="000000"/>
          <w:sz w:val="22"/>
          <w:szCs w:val="22"/>
        </w:rPr>
        <w:t xml:space="preserve">•  MOGOPS-D3 (Acoustic Coupling Map): An acoustic coupling map is defined as a function C: S × A → S that maps a brain state s and an acoustic parameter vector a to a new brain state C(s, a). This is a formal definition; the actual form of C is unknown.</w:t>
      </w:r>
    </w:p>
    <w:p>
      <w:pPr>
        <w:spacing w:after="60" w:line="312"/>
        <w:ind w:left="600" w:hanging="300"/>
        <w:jc w:val="left"/>
      </w:pPr>
      <w:r>
        <w:rPr>
          <w:rFonts w:ascii="Times New Roman" w:eastAsia="SimSun"/>
          <w:color w:val="000000"/>
          <w:sz w:val="22"/>
          <w:szCs w:val="22"/>
        </w:rPr>
        <w:t xml:space="preserve">•  MOGOPS-D4 (Adaptation Operator): An adaptation operator is defined as a function Δ: S × S_ref → A that computes the acoustic parameter vector a minimizing the distance d(s_target, s_ref) between the current state and a reference state.</w:t>
      </w:r>
    </w:p>
    <w:p>
      <w:pPr>
        <w:pStyle w:val="Heading2"/>
        <w:spacing w:after="160" w:before="360"/>
      </w:pPr>
      <w:bookmarkStart w:id="100037" w:name="_Toc100037"/>
      <w:r>
        <w:rPr>
          <w:rFonts w:ascii="Times New Roman" w:eastAsia="SimHei"/>
          <w:b/>
          <w:bCs/>
          <w:color w:val="0A0A0A"/>
          <w:sz w:val="28"/>
          <w:szCs w:val="28"/>
        </w:rPr>
        <w:t xml:space="preserve">9.2  Tier 2: Empirical Hypotheses</w:t>
      </w:r>
      <w:bookmarkEnd w:id="100037"/>
    </w:p>
    <w:p>
      <w:pPr>
        <w:keepNext w:val="false"/>
        <w:spacing w:after="80" w:line="312"/>
        <w:ind w:firstLine="480"/>
        <w:jc w:val="both"/>
      </w:pPr>
      <w:r>
        <w:rPr>
          <w:rFonts w:ascii="Times New Roman" w:eastAsia="SimSun"/>
          <w:b w:val="false"/>
          <w:bCs w:val="false"/>
          <w:i w:val="false"/>
          <w:iCs w:val="false"/>
          <w:color w:val="000000"/>
          <w:sz w:val="24"/>
          <w:szCs w:val="24"/>
        </w:rPr>
        <w:t xml:space="preserve">These statements are empirical hypotheses that can, in principle, be tested through experiments. They are stated with sufficient precision to allow falsification, and each includes an explicit criterion for what would constitute a refuting observation.</w:t>
      </w:r>
    </w:p>
    <w:p>
      <w:pPr>
        <w:spacing w:after="60" w:line="312"/>
        <w:ind w:left="600" w:hanging="300"/>
        <w:jc w:val="left"/>
      </w:pPr>
      <w:r>
        <w:rPr>
          <w:rFonts w:ascii="Times New Roman" w:eastAsia="SimSun"/>
          <w:color w:val="000000"/>
          <w:sz w:val="22"/>
          <w:szCs w:val="22"/>
        </w:rPr>
        <w:t xml:space="preserve">•  MOGOPS-H1: The dimensionality of the EEG-derived state space S is finite and does not exceed 50 dimensions under standard recording conditions. Falsification: demonstration that EEG state reconstruction requires more than 50 principal components to capture 95% variance.</w:t>
      </w:r>
    </w:p>
    <w:p>
      <w:pPr>
        <w:spacing w:after="60" w:line="312"/>
        <w:ind w:left="600" w:hanging="300"/>
        <w:jc w:val="left"/>
      </w:pPr>
      <w:r>
        <w:rPr>
          <w:rFonts w:ascii="Times New Roman" w:eastAsia="SimSun"/>
          <w:color w:val="000000"/>
          <w:sz w:val="22"/>
          <w:szCs w:val="22"/>
        </w:rPr>
        <w:t xml:space="preserve">•  MOGOPS-H2: Acoustic stimulation produces state transitions that are measurable within 500 ms of stimulus onset. Falsification: failure to detect statistically significant state changes within this window across multiple subjects and stimulation parameters.</w:t>
      </w:r>
    </w:p>
    <w:p>
      <w:pPr>
        <w:spacing w:after="60" w:line="312"/>
        <w:ind w:left="600" w:hanging="300"/>
        <w:jc w:val="left"/>
      </w:pPr>
      <w:r>
        <w:rPr>
          <w:rFonts w:ascii="Times New Roman" w:eastAsia="SimSun"/>
          <w:color w:val="000000"/>
          <w:sz w:val="22"/>
          <w:szCs w:val="22"/>
        </w:rPr>
        <w:t xml:space="preserve">•  MOGOPS-H3: Closed-loop adaptive acoustic stimulation achieves greater state modification than open-loop (fixed-parameter) stimulation. Falsification: randomized controlled trial showing no significant difference between closed-loop and open-loop conditions.</w:t>
      </w:r>
    </w:p>
    <w:p>
      <w:pPr>
        <w:spacing w:after="60" w:line="312"/>
        <w:ind w:left="600" w:hanging="300"/>
        <w:jc w:val="left"/>
      </w:pPr>
      <w:r>
        <w:rPr>
          <w:rFonts w:ascii="Times New Roman" w:eastAsia="SimSun"/>
          <w:color w:val="000000"/>
          <w:sz w:val="22"/>
          <w:szCs w:val="22"/>
        </w:rPr>
        <w:t xml:space="preserve">•  MOGOPS-H4: The acoustic coupling map C is approximately Lipschitz continuous with a computable Lipschitz constant. Falsification: observation of discontinuous state transitions in response to infinitesimally small parameter changes.</w:t>
      </w:r>
    </w:p>
    <w:p>
      <w:pPr>
        <w:pStyle w:val="Heading2"/>
        <w:spacing w:after="160" w:before="360"/>
      </w:pPr>
      <w:bookmarkStart w:id="100038" w:name="_Toc100038"/>
      <w:r>
        <w:rPr>
          <w:rFonts w:ascii="Times New Roman" w:eastAsia="SimHei"/>
          <w:b/>
          <w:bCs/>
          <w:color w:val="0A0A0A"/>
          <w:sz w:val="28"/>
          <w:szCs w:val="28"/>
        </w:rPr>
        <w:t xml:space="preserve">9.3  Tier 3: Speculative Extensions</w:t>
      </w:r>
      <w:bookmarkEnd w:id="100038"/>
    </w:p>
    <w:p>
      <w:pPr>
        <w:keepNext w:val="false"/>
        <w:spacing w:after="80" w:line="312"/>
        <w:ind w:firstLine="480"/>
        <w:jc w:val="both"/>
      </w:pPr>
      <w:r>
        <w:rPr>
          <w:rFonts w:ascii="Times New Roman" w:eastAsia="SimSun"/>
          <w:b w:val="false"/>
          <w:bCs w:val="false"/>
          <w:i w:val="false"/>
          <w:iCs w:val="false"/>
          <w:color w:val="000000"/>
          <w:sz w:val="24"/>
          <w:szCs w:val="24"/>
        </w:rPr>
        <w:t xml:space="preserve">These statements represent the most ambitious and least testable aspects of the MOGOPS framework. They are retained because they serve as intellectual provocations and potential directions for future theoretical development, but they must be understood as philosophical speculations rather than scientific hypotheses. No experimental protocol currently exists that could test these claims, and they should not be cited as evidence for the framework’s validity.</w:t>
      </w:r>
    </w:p>
    <w:p>
      <w:pPr>
        <w:spacing w:after="60" w:line="312"/>
        <w:ind w:left="600" w:hanging="300"/>
        <w:jc w:val="left"/>
      </w:pPr>
      <w:r>
        <w:rPr>
          <w:rFonts w:ascii="Times New Roman" w:eastAsia="SimSun"/>
          <w:color w:val="000000"/>
          <w:sz w:val="22"/>
          <w:szCs w:val="22"/>
        </w:rPr>
        <w:t xml:space="preserve">•  MOGOPS-S1: The cognitive state space S possesses a topological structure that reflects the hierarchical organization of cognitive processes, with attractor basins corresponding to discrete cognitive states nested within larger metastable regions.</w:t>
      </w:r>
    </w:p>
    <w:p>
      <w:pPr>
        <w:spacing w:after="60" w:line="312"/>
        <w:ind w:left="600" w:hanging="300"/>
        <w:jc w:val="left"/>
      </w:pPr>
      <w:r>
        <w:rPr>
          <w:rFonts w:ascii="Times New Roman" w:eastAsia="SimSun"/>
          <w:color w:val="000000"/>
          <w:sz w:val="22"/>
          <w:szCs w:val="22"/>
        </w:rPr>
        <w:t xml:space="preserve">•  MOGOPS-S2: The acoustic coupling map C induces a flow on S that is topologically conjugate to the natural brain state dynamics, meaning that acoustic stimulation can in principle drive the brain through the same state space trajectories that occur naturally during cognitive processing.</w:t>
      </w:r>
    </w:p>
    <w:p>
      <w:pPr>
        <w:spacing w:after="60" w:line="312"/>
        <w:ind w:left="600" w:hanging="300"/>
        <w:jc w:val="left"/>
      </w:pPr>
      <w:r>
        <w:rPr>
          <w:rFonts w:ascii="Times New Roman" w:eastAsia="SimSun"/>
          <w:color w:val="000000"/>
          <w:sz w:val="22"/>
          <w:szCs w:val="22"/>
        </w:rPr>
        <w:t xml:space="preserve">•  MOGOPS-S3: The information content of a cognitive state can be quantified by an intrinsic information measure that is independent of any specific measurement apparatus, analogous to how thermodynamic entropy is independent of the specific experimental setup used to measure temperature.</w:t>
      </w:r>
    </w:p>
    <w:p>
      <w:pPr>
        <w:pStyle w:val="Heading1"/>
        <w:spacing w:after="200" w:before="480"/>
      </w:pPr>
      <w:bookmarkStart w:id="100039" w:name="_Toc100039"/>
      <w:r>
        <w:rPr>
          <w:rFonts w:ascii="Times New Roman" w:eastAsia="SimHei"/>
          <w:b/>
          <w:bCs/>
          <w:color w:val="0A0A0A"/>
          <w:sz w:val="32"/>
          <w:szCs w:val="32"/>
        </w:rPr>
        <w:t xml:space="preserve">10  Validation Roadmap — Phase-Gated</w:t>
      </w:r>
      <w:bookmarkEnd w:id="100039"/>
    </w:p>
    <w:p>
      <w:pPr>
        <w:keepNext w:val="false"/>
        <w:spacing w:after="80" w:line="312"/>
        <w:ind w:firstLine="480"/>
        <w:jc w:val="both"/>
      </w:pPr>
      <w:r>
        <w:rPr>
          <w:rFonts w:ascii="Times New Roman" w:eastAsia="SimSun"/>
          <w:b w:val="false"/>
          <w:bCs w:val="false"/>
          <w:i w:val="false"/>
          <w:iCs w:val="false"/>
          <w:color w:val="000000"/>
          <w:sz w:val="24"/>
          <w:szCs w:val="24"/>
        </w:rPr>
        <w:t xml:space="preserve">The validation roadmap has been completely restructured from the prior version’s aggressive timeline to a realistic, phase-gated progression that acknowledges the speculative nature of the framework. Each phase has explicit entry criteria, exit criteria, and decision gates that determine whether progression to the next phase is warranted. No phase may be skipped, and a negative result at any decision gate triggers a mandatory return to the previous phase for reformulation. This structure is designed to prevent the premature escalation of untested hypotheses into engineering commitments.</w:t>
      </w:r>
    </w:p>
    <w:tbl>
      <w:tblPr>
        <w:tblW w:type="pct" w:w="100%"/>
        <w:tblBorders>
          <w:top w:val="single" w:color="1B6B7A" w:sz="2"/>
          <w:left w:val="none" w:color="FFFFFF" w:sz="0"/>
          <w:bottom w:val="single" w:color="1B6B7A" w:sz="2"/>
          <w:right w:val="none" w:color="FFFFFF" w:sz="0"/>
          <w:insideH w:val="none" w:color="FFFFFF" w:sz="0"/>
          <w:insideV w:val="none" w:color="FFFFFF" w:sz="0"/>
        </w:tblBorders>
        <w:tblLayout w:type="fixed"/>
      </w:tblPr>
      <w:tblGrid>
        <w:gridCol w:w="100"/>
        <w:gridCol w:w="100"/>
        <w:gridCol w:w="100"/>
        <w:gridCol w:w="100"/>
        <w:gridCol w:w="100"/>
        <w:gridCol w:w="100"/>
      </w:tblGrid>
      <w:tr>
        <w:trPr>
          <w:cantSplit/>
          <w:tblHeader/>
        </w:trPr>
        <w:tc>
          <w:tcPr>
            <w:tcW w:type="dxa" w:w="1220"/>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0"/>
                <w:szCs w:val="20"/>
              </w:rPr>
              <w:t xml:space="preserve">Phase</w:t>
            </w:r>
          </w:p>
        </w:tc>
        <w:tc>
          <w:tcPr>
            <w:tcW w:type="dxa" w:w="1220"/>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0"/>
                <w:szCs w:val="20"/>
              </w:rPr>
              <w:t xml:space="preserve">Duration</w:t>
            </w:r>
          </w:p>
        </w:tc>
        <w:tc>
          <w:tcPr>
            <w:tcW w:type="dxa" w:w="1707"/>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0"/>
                <w:szCs w:val="20"/>
              </w:rPr>
              <w:t xml:space="preserve">Objective</w:t>
            </w:r>
          </w:p>
        </w:tc>
        <w:tc>
          <w:tcPr>
            <w:tcW w:type="dxa" w:w="1951"/>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0"/>
                <w:szCs w:val="20"/>
              </w:rPr>
              <w:t xml:space="preserve">Entry Criteria</w:t>
            </w:r>
          </w:p>
        </w:tc>
        <w:tc>
          <w:tcPr>
            <w:tcW w:type="dxa" w:w="2195"/>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0"/>
                <w:szCs w:val="20"/>
              </w:rPr>
              <w:t xml:space="preserve">Exit Criteria</w:t>
            </w:r>
          </w:p>
        </w:tc>
        <w:tc>
          <w:tcPr>
            <w:tcW w:type="dxa" w:w="1707"/>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0"/>
                <w:szCs w:val="20"/>
              </w:rPr>
              <w:t xml:space="preserve">Decision Gate</w:t>
            </w:r>
          </w:p>
        </w:tc>
      </w:tr>
      <w:tr>
        <w:trPr>
          <w:cantSplit/>
        </w:trPr>
        <w:tc>
          <w:tcPr>
            <w:tcW w:type="dxa" w:w="1220"/>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P0: Literature</w:t>
            </w:r>
          </w:p>
        </w:tc>
        <w:tc>
          <w:tcPr>
            <w:tcW w:type="dxa" w:w="1220"/>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6 months</w:t>
            </w:r>
          </w:p>
        </w:tc>
        <w:tc>
          <w:tcPr>
            <w:tcW w:type="dxa" w:w="1707"/>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Establish empirical basis for key hypotheses</w:t>
            </w:r>
          </w:p>
        </w:tc>
        <w:tc>
          <w:tcPr>
            <w:tcW w:type="dxa" w:w="1951"/>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None</w:t>
            </w:r>
          </w:p>
        </w:tc>
        <w:tc>
          <w:tcPr>
            <w:tcW w:type="dxa" w:w="2195"/>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Minimum 10 peer-reviewed papers reviewed per hypothesis</w:t>
            </w:r>
          </w:p>
        </w:tc>
        <w:tc>
          <w:tcPr>
            <w:tcW w:type="dxa" w:w="1707"/>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Go/No-Go based on literature support</w:t>
            </w:r>
          </w:p>
        </w:tc>
      </w:tr>
      <w:tr>
        <w:trPr>
          <w:cantSplit/>
        </w:trPr>
        <w:tc>
          <w:tcPr>
            <w:tcW w:type="dxa" w:w="1220"/>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P1: Simulation</w:t>
            </w:r>
          </w:p>
        </w:tc>
        <w:tc>
          <w:tcPr>
            <w:tcW w:type="dxa" w:w="1220"/>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12 months</w:t>
            </w:r>
          </w:p>
        </w:tc>
        <w:tc>
          <w:tcPr>
            <w:tcW w:type="dxa" w:w="1707"/>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Validate mathematical models in silico</w:t>
            </w:r>
          </w:p>
        </w:tc>
        <w:tc>
          <w:tcPr>
            <w:tcW w:type="dxa" w:w="1951"/>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P0 complete; simulation framework built</w:t>
            </w:r>
          </w:p>
        </w:tc>
        <w:tc>
          <w:tcPr>
            <w:tcW w:type="dxa" w:w="2195"/>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Models reproduce known neural dynamics within 10% error</w:t>
            </w:r>
          </w:p>
        </w:tc>
        <w:tc>
          <w:tcPr>
            <w:tcW w:type="dxa" w:w="1707"/>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Go/No-Go based on simulation fidelity</w:t>
            </w:r>
          </w:p>
        </w:tc>
      </w:tr>
      <w:tr>
        <w:trPr>
          <w:cantSplit/>
        </w:trPr>
        <w:tc>
          <w:tcPr>
            <w:tcW w:type="dxa" w:w="1220"/>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P2: Phantom</w:t>
            </w:r>
          </w:p>
        </w:tc>
        <w:tc>
          <w:tcPr>
            <w:tcW w:type="dxa" w:w="1220"/>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6 months</w:t>
            </w:r>
          </w:p>
        </w:tc>
        <w:tc>
          <w:tcPr>
            <w:tcW w:type="dxa" w:w="1707"/>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Validate acoustic delivery and safety systems</w:t>
            </w:r>
          </w:p>
        </w:tc>
        <w:tc>
          <w:tcPr>
            <w:tcW w:type="dxa" w:w="1951"/>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P1 complete; hardware prototype</w:t>
            </w:r>
          </w:p>
        </w:tc>
        <w:tc>
          <w:tcPr>
            <w:tcW w:type="dxa" w:w="2195"/>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Acoustic field matches simulation within 5%; safety interlocks verified</w:t>
            </w:r>
          </w:p>
        </w:tc>
        <w:tc>
          <w:tcPr>
            <w:tcW w:type="dxa" w:w="1707"/>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Go/No-Go based on hardware performance</w:t>
            </w:r>
          </w:p>
        </w:tc>
      </w:tr>
      <w:tr>
        <w:trPr>
          <w:cantSplit/>
        </w:trPr>
        <w:tc>
          <w:tcPr>
            <w:tcW w:type="dxa" w:w="1220"/>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P3: Animal</w:t>
            </w:r>
          </w:p>
        </w:tc>
        <w:tc>
          <w:tcPr>
            <w:tcW w:type="dxa" w:w="1220"/>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18 months</w:t>
            </w:r>
          </w:p>
        </w:tc>
        <w:tc>
          <w:tcPr>
            <w:tcW w:type="dxa" w:w="1707"/>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Demonstrate neuromodulation in animal model</w:t>
            </w:r>
          </w:p>
        </w:tc>
        <w:tc>
          <w:tcPr>
            <w:tcW w:type="dxa" w:w="1951"/>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P2 complete; IACUC approval</w:t>
            </w:r>
          </w:p>
        </w:tc>
        <w:tc>
          <w:tcPr>
            <w:tcW w:type="dxa" w:w="2195"/>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Statistically significant ERP modulation (p&lt;0.05, n≥10)</w:t>
            </w:r>
          </w:p>
        </w:tc>
        <w:tc>
          <w:tcPr>
            <w:tcW w:type="dxa" w:w="1707"/>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Go/No-Go based on biological effect size</w:t>
            </w:r>
          </w:p>
        </w:tc>
      </w:tr>
      <w:tr>
        <w:trPr>
          <w:cantSplit/>
        </w:trPr>
        <w:tc>
          <w:tcPr>
            <w:tcW w:type="dxa" w:w="1220"/>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P4: Human Pilot</w:t>
            </w:r>
          </w:p>
        </w:tc>
        <w:tc>
          <w:tcPr>
            <w:tcW w:type="dxa" w:w="1220"/>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24 months</w:t>
            </w:r>
          </w:p>
        </w:tc>
        <w:tc>
          <w:tcPr>
            <w:tcW w:type="dxa" w:w="1707"/>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Safety and feasibility in healthy volunteers</w:t>
            </w:r>
          </w:p>
        </w:tc>
        <w:tc>
          <w:tcPr>
            <w:tcW w:type="dxa" w:w="1951"/>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P3 complete; IRB approval</w:t>
            </w:r>
          </w:p>
        </w:tc>
        <w:tc>
          <w:tcPr>
            <w:tcW w:type="dxa" w:w="2195"/>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No adverse events; replicable state modulation (n≥20)</w:t>
            </w:r>
          </w:p>
        </w:tc>
        <w:tc>
          <w:tcPr>
            <w:tcW w:type="dxa" w:w="1707"/>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Go/No-Go based on safety + effect replication</w:t>
            </w:r>
          </w:p>
        </w:tc>
      </w:tr>
      <w:tr>
        <w:trPr>
          <w:cantSplit/>
        </w:trPr>
        <w:tc>
          <w:tcPr>
            <w:tcW w:type="dxa" w:w="1220"/>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P5: Clinical</w:t>
            </w:r>
          </w:p>
        </w:tc>
        <w:tc>
          <w:tcPr>
            <w:tcW w:type="dxa" w:w="1220"/>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36 months</w:t>
            </w:r>
          </w:p>
        </w:tc>
        <w:tc>
          <w:tcPr>
            <w:tcW w:type="dxa" w:w="1707"/>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Randomized controlled trial in target population</w:t>
            </w:r>
          </w:p>
        </w:tc>
        <w:tc>
          <w:tcPr>
            <w:tcW w:type="dxa" w:w="1951"/>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P4 complete; regulatory approval</w:t>
            </w:r>
          </w:p>
        </w:tc>
        <w:tc>
          <w:tcPr>
            <w:tcW w:type="dxa" w:w="2195"/>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Primary endpoint met with statistical significance</w:t>
            </w:r>
          </w:p>
        </w:tc>
        <w:tc>
          <w:tcPr>
            <w:tcW w:type="dxa" w:w="1707"/>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Publication + regulatory decision</w:t>
            </w:r>
          </w:p>
        </w:tc>
      </w:tr>
    </w:tbl>
    <w:p>
      <w:pPr>
        <w:keepNext w:val="false"/>
        <w:spacing w:after="80" w:line="312"/>
        <w:ind w:firstLine="480"/>
        <w:jc w:val="both"/>
      </w:pPr>
      <w:r>
        <w:rPr>
          <w:rFonts w:ascii="Times New Roman" w:eastAsia="SimSun"/>
          <w:b w:val="false"/>
          <w:bCs w:val="false"/>
          <w:i w:val="false"/>
          <w:iCs w:val="false"/>
          <w:color w:val="000000"/>
          <w:sz w:val="24"/>
          <w:szCs w:val="24"/>
        </w:rPr>
        <w:t xml:space="preserve">The total estimated timeline from P0 to P5 is approximately 8 years, assuming successful passage through all decision gates. This estimate is deliberately conservative, reflecting the high probability of setbacks and reformulations at each stage. Historical data from the transcranial focused ultrasound (tFUS) field suggests that the transition from initial proof-of-concept to clinical application typically requires 10–15 years (Darrow et al., 2021), and the NATE framework’s additional complexity (closed-loop control, multi-modal integration) may extend this timeline further. The roadmap should be viewed as a best-case scenario rather than a commitment.</w:t>
      </w:r>
    </w:p>
    <w:p>
      <w:pPr>
        <w:pStyle w:val="Heading1"/>
        <w:spacing w:after="200" w:before="480"/>
      </w:pPr>
      <w:bookmarkStart w:id="100040" w:name="_Toc100040"/>
      <w:r>
        <w:rPr>
          <w:rFonts w:ascii="Times New Roman" w:eastAsia="SimHei"/>
          <w:b/>
          <w:bCs/>
          <w:color w:val="0A0A0A"/>
          <w:sz w:val="32"/>
          <w:szCs w:val="32"/>
        </w:rPr>
        <w:t xml:space="preserve">11  Glossary of Terms</w:t>
      </w:r>
      <w:bookmarkEnd w:id="100040"/>
    </w:p>
    <w:p>
      <w:pPr>
        <w:keepNext w:val="false"/>
        <w:spacing w:after="80" w:line="312"/>
        <w:ind w:firstLine="480"/>
        <w:jc w:val="both"/>
      </w:pPr>
      <w:r>
        <w:rPr>
          <w:rFonts w:ascii="Times New Roman" w:eastAsia="SimSun"/>
          <w:b w:val="false"/>
          <w:bCs w:val="false"/>
          <w:i w:val="false"/>
          <w:iCs w:val="false"/>
          <w:color w:val="000000"/>
          <w:sz w:val="24"/>
          <w:szCs w:val="24"/>
        </w:rPr>
        <w:t xml:space="preserve">This glossary provides definitions for all technical terms used in this document. Terms are listed alphabetically with cross-references to the sections where they are first defined or used extensively. This glossary was created in response to audit findings that identified numerous undefined variables and inconsistent notation throughout the prior version.</w:t>
      </w:r>
    </w:p>
    <w:tbl>
      <w:tblPr>
        <w:tblW w:type="pct" w:w="100%"/>
        <w:tblBorders>
          <w:top w:val="single" w:color="1B6B7A" w:sz="2"/>
          <w:left w:val="none" w:color="FFFFFF" w:sz="0"/>
          <w:bottom w:val="single" w:color="1B6B7A" w:sz="2"/>
          <w:right w:val="none" w:color="FFFFFF" w:sz="0"/>
          <w:insideH w:val="none" w:color="FFFFFF" w:sz="0"/>
          <w:insideV w:val="none" w:color="FFFFFF" w:sz="0"/>
        </w:tblBorders>
        <w:tblLayout w:type="fixed"/>
      </w:tblPr>
      <w:tblGrid>
        <w:gridCol w:w="100"/>
        <w:gridCol w:w="100"/>
        <w:gridCol w:w="100"/>
      </w:tblGrid>
      <w:tr>
        <w:trPr>
          <w:cantSplit/>
          <w:tblHeader/>
        </w:trPr>
        <w:tc>
          <w:tcPr>
            <w:tcW w:type="dxa" w:w="1714"/>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0"/>
                <w:szCs w:val="20"/>
              </w:rPr>
              <w:t xml:space="preserve">Term</w:t>
            </w:r>
          </w:p>
        </w:tc>
        <w:tc>
          <w:tcPr>
            <w:tcW w:type="dxa" w:w="6000"/>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0"/>
                <w:szCs w:val="20"/>
              </w:rPr>
              <w:t xml:space="preserve">Definition</w:t>
            </w:r>
          </w:p>
        </w:tc>
        <w:tc>
          <w:tcPr>
            <w:tcW w:type="dxa" w:w="2286"/>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center"/>
            </w:pPr>
            <w:r>
              <w:rPr>
                <w:rFonts w:ascii="Calibri" w:eastAsia="SimHei"/>
                <w:b/>
                <w:bCs/>
                <w:color w:val="FFFFFF"/>
                <w:sz w:val="20"/>
                <w:szCs w:val="20"/>
              </w:rPr>
              <w:t xml:space="preserve">First Occurrence</w:t>
            </w:r>
          </w:p>
        </w:tc>
      </w:tr>
      <w:tr>
        <w:trPr>
          <w:cantSplit/>
        </w:trPr>
        <w:tc>
          <w:tcPr>
            <w:tcW w:type="dxa" w:w="1714"/>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DMDc</w:t>
            </w:r>
          </w:p>
        </w:tc>
        <w:tc>
          <w:tcPr>
            <w:tcW w:type="dxa" w:w="6000"/>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Dynamic Mode Decomposition with control; a data-driven method for extracting linear dynamics from nonlinear systems with external inputs</w:t>
            </w:r>
          </w:p>
        </w:tc>
        <w:tc>
          <w:tcPr>
            <w:tcW w:type="dxa" w:w="2286"/>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Section 4.5</w:t>
            </w:r>
          </w:p>
        </w:tc>
      </w:tr>
      <w:tr>
        <w:trPr>
          <w:cantSplit/>
        </w:trPr>
        <w:tc>
          <w:tcPr>
            <w:tcW w:type="dxa" w:w="1714"/>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ERP</w:t>
            </w:r>
          </w:p>
        </w:tc>
        <w:tc>
          <w:tcPr>
            <w:tcW w:type="dxa" w:w="6000"/>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Event-Related Potential; measurable brain response to a specific sensory or cognitive event, measured via EEG</w:t>
            </w:r>
          </w:p>
        </w:tc>
        <w:tc>
          <w:tcPr>
            <w:tcW w:type="dxa" w:w="2286"/>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Section 4.3</w:t>
            </w:r>
          </w:p>
        </w:tc>
      </w:tr>
      <w:tr>
        <w:trPr>
          <w:cantSplit/>
        </w:trPr>
        <w:tc>
          <w:tcPr>
            <w:tcW w:type="dxa" w:w="1714"/>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ISPTA</w:t>
            </w:r>
          </w:p>
        </w:tc>
        <w:tc>
          <w:tcPr>
            <w:tcW w:type="dxa" w:w="6000"/>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Intensity, Spatial-Peak, Temporal-Average; the primary regulatory metric for ultrasonic exposure</w:t>
            </w:r>
          </w:p>
        </w:tc>
        <w:tc>
          <w:tcPr>
            <w:tcW w:type="dxa" w:w="2286"/>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Section 5.2</w:t>
            </w:r>
          </w:p>
        </w:tc>
      </w:tr>
      <w:tr>
        <w:trPr>
          <w:cantSplit/>
        </w:trPr>
        <w:tc>
          <w:tcPr>
            <w:tcW w:type="dxa" w:w="1714"/>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LPV</w:t>
            </w:r>
          </w:p>
        </w:tc>
        <w:tc>
          <w:tcPr>
            <w:tcW w:type="dxa" w:w="6000"/>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Linear Parameter-Varying; a system representation where the dynamics depend linearly on a time-varying scheduling parameter</w:t>
            </w:r>
          </w:p>
        </w:tc>
        <w:tc>
          <w:tcPr>
            <w:tcW w:type="dxa" w:w="2286"/>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Section 7.4</w:t>
            </w:r>
          </w:p>
        </w:tc>
      </w:tr>
      <w:tr>
        <w:trPr>
          <w:cantSplit/>
        </w:trPr>
        <w:tc>
          <w:tcPr>
            <w:tcW w:type="dxa" w:w="1714"/>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MI</w:t>
            </w:r>
          </w:p>
        </w:tc>
        <w:tc>
          <w:tcPr>
            <w:tcW w:type="dxa" w:w="6000"/>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Mechanical Index; a dimensionless measure of the likelihood of cavitation during ultrasonic exposure</w:t>
            </w:r>
          </w:p>
        </w:tc>
        <w:tc>
          <w:tcPr>
            <w:tcW w:type="dxa" w:w="2286"/>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Section 5.2</w:t>
            </w:r>
          </w:p>
        </w:tc>
      </w:tr>
      <w:tr>
        <w:trPr>
          <w:cantSplit/>
        </w:trPr>
        <w:tc>
          <w:tcPr>
            <w:tcW w:type="dxa" w:w="1714"/>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MMN</w:t>
            </w:r>
          </w:p>
        </w:tc>
        <w:tc>
          <w:tcPr>
            <w:tcW w:type="dxa" w:w="6000"/>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Mismatch Negativity; an ERP component elicited by infrequent deviant stimuli embedded in a stream of standard stimuli</w:t>
            </w:r>
          </w:p>
        </w:tc>
        <w:tc>
          <w:tcPr>
            <w:tcW w:type="dxa" w:w="2286"/>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Section 4.3</w:t>
            </w:r>
          </w:p>
        </w:tc>
      </w:tr>
      <w:tr>
        <w:trPr>
          <w:cantSplit/>
        </w:trPr>
        <w:tc>
          <w:tcPr>
            <w:tcW w:type="dxa" w:w="1714"/>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MOGOPS</w:t>
            </w:r>
          </w:p>
        </w:tc>
        <w:tc>
          <w:tcPr>
            <w:tcW w:type="dxa" w:w="6000"/>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Metaphysical Ontology for Generalized Operational Phenomenological Systems; the ontological axiom set of NATE</w:t>
            </w:r>
          </w:p>
        </w:tc>
        <w:tc>
          <w:tcPr>
            <w:tcW w:type="dxa" w:w="2286"/>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Chapter 9</w:t>
            </w:r>
          </w:p>
        </w:tc>
      </w:tr>
      <w:tr>
        <w:trPr>
          <w:cantSplit/>
        </w:trPr>
        <w:tc>
          <w:tcPr>
            <w:tcW w:type="dxa" w:w="1714"/>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NATE</w:t>
            </w:r>
          </w:p>
        </w:tc>
        <w:tc>
          <w:tcPr>
            <w:tcW w:type="dxa" w:w="6000"/>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Neuro-Acoustic Transmutation Engine; the overall framework described in this document</w:t>
            </w:r>
          </w:p>
        </w:tc>
        <w:tc>
          <w:tcPr>
            <w:tcW w:type="dxa" w:w="2286"/>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Chapter 1</w:t>
            </w:r>
          </w:p>
        </w:tc>
      </w:tr>
      <w:tr>
        <w:trPr>
          <w:cantSplit/>
        </w:trPr>
        <w:tc>
          <w:tcPr>
            <w:tcW w:type="dxa" w:w="1714"/>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P300</w:t>
            </w:r>
          </w:p>
        </w:tc>
        <w:tc>
          <w:tcPr>
            <w:tcW w:type="dxa" w:w="6000"/>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A positive ERP component occurring approximately 300 ms after a rare, task-relevant stimulus</w:t>
            </w:r>
          </w:p>
        </w:tc>
        <w:tc>
          <w:tcPr>
            <w:tcW w:type="dxa" w:w="2286"/>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Section 4.3</w:t>
            </w:r>
          </w:p>
        </w:tc>
      </w:tr>
      <w:tr>
        <w:trPr>
          <w:cantSplit/>
        </w:trPr>
        <w:tc>
          <w:tcPr>
            <w:tcW w:type="dxa" w:w="1714"/>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tFUS</w:t>
            </w:r>
          </w:p>
        </w:tc>
        <w:tc>
          <w:tcPr>
            <w:tcW w:type="dxa" w:w="6000"/>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Transcranial Focused Ultrasound; a non-invasive neuromodulation technique using focused acoustic energy</w:t>
            </w:r>
          </w:p>
        </w:tc>
        <w:tc>
          <w:tcPr>
            <w:tcW w:type="dxa" w:w="2286"/>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Section 5.1</w:t>
            </w:r>
          </w:p>
        </w:tc>
      </w:tr>
      <w:tr>
        <w:trPr>
          <w:cantSplit/>
        </w:trPr>
        <w:tc>
          <w:tcPr>
            <w:tcW w:type="dxa" w:w="1714"/>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TI</w:t>
            </w:r>
          </w:p>
        </w:tc>
        <w:tc>
          <w:tcPr>
            <w:tcW w:type="dxa" w:w="6000"/>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Thermal Index; a dimensionless measure of the likelihood of tissue heating during ultrasonic exposure</w:t>
            </w:r>
          </w:p>
        </w:tc>
        <w:tc>
          <w:tcPr>
            <w:tcW w:type="dxa" w:w="2286"/>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Section 5.2</w:t>
            </w:r>
          </w:p>
        </w:tc>
      </w:tr>
      <w:tr>
        <w:trPr>
          <w:cantSplit/>
        </w:trPr>
        <w:tc>
          <w:tcPr>
            <w:tcW w:type="dxa" w:w="1714"/>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UTD</w:t>
            </w:r>
          </w:p>
        </w:tc>
        <w:tc>
          <w:tcPr>
            <w:tcW w:type="dxa" w:w="6000"/>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Unified Transmutation Dynamics; a novel theoretical proposal for integrating dynamical systems theory with acoustic neuromodulation</w:t>
            </w:r>
          </w:p>
        </w:tc>
        <w:tc>
          <w:tcPr>
            <w:tcW w:type="dxa" w:w="2286"/>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Chapter 6</w:t>
            </w:r>
          </w:p>
        </w:tc>
      </w:tr>
      <w:tr>
        <w:trPr>
          <w:cantSplit/>
        </w:trPr>
        <w:tc>
          <w:tcPr>
            <w:tcW w:type="dxa" w:w="1714"/>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UKF</w:t>
            </w:r>
          </w:p>
        </w:tc>
        <w:tc>
          <w:tcPr>
            <w:tcW w:type="dxa" w:w="6000"/>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Unscented Kalman Filter; a nonlinear state estimation algorithm that uses a deterministic sampling strategy</w:t>
            </w:r>
          </w:p>
        </w:tc>
        <w:tc>
          <w:tcPr>
            <w:tcW w:type="dxa" w:w="2286"/>
            <w:tcBorders>
              <w:top w:val="none" w:color="FFFFFF" w:sz="0"/>
              <w:left w:val="none" w:color="FFFFFF" w:sz="0"/>
              <w:bottom w:val="single" w:color="C8DDE2" w:sz="1"/>
              <w:right w:val="none" w:color="FFFFFF" w:sz="0"/>
            </w:tcBorders>
            <w:shd w:fill="EDF3F5" w:val="clear"/>
            <w:tcMar>
              <w:top w:type="dxa" w:w="50"/>
              <w:left w:type="dxa" w:w="120"/>
              <w:bottom w:type="dxa" w:w="50"/>
              <w:right w:type="dxa" w:w="120"/>
            </w:tcMar>
          </w:tcPr>
          <w:p>
            <w:pPr>
              <w:jc w:val="left"/>
            </w:pPr>
            <w:r>
              <w:rPr>
                <w:rFonts w:ascii="Calibri" w:eastAsia="SimSun"/>
                <w:color w:val="000000"/>
                <w:sz w:val="20"/>
                <w:szCs w:val="20"/>
              </w:rPr>
              <w:t xml:space="preserve">Section 4.5</w:t>
            </w:r>
          </w:p>
        </w:tc>
      </w:tr>
      <w:tr>
        <w:trPr>
          <w:cantSplit/>
        </w:trPr>
        <w:tc>
          <w:tcPr>
            <w:tcW w:type="dxa" w:w="1714"/>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WKB</w:t>
            </w:r>
          </w:p>
        </w:tc>
        <w:tc>
          <w:tcPr>
            <w:tcW w:type="dxa" w:w="6000"/>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Wentzel–Kramers–Brillouin; a semi-classical approximation method in quantum mechanics</w:t>
            </w:r>
          </w:p>
        </w:tc>
        <w:tc>
          <w:tcPr>
            <w:tcW w:type="dxa" w:w="2286"/>
            <w:tcBorders>
              <w:top w:val="none" w:color="FFFFFF" w:sz="0"/>
              <w:left w:val="none" w:color="FFFFFF" w:sz="0"/>
              <w:bottom w:val="single" w:color="C8DDE2" w:sz="1"/>
              <w:right w:val="none" w:color="FFFFFF" w:sz="0"/>
            </w:tcBorders>
            <w:shd w:fill="FFFFFF" w:val="clear"/>
            <w:tcMar>
              <w:top w:type="dxa" w:w="50"/>
              <w:left w:type="dxa" w:w="120"/>
              <w:bottom w:type="dxa" w:w="50"/>
              <w:right w:type="dxa" w:w="120"/>
            </w:tcMar>
          </w:tcPr>
          <w:p>
            <w:pPr>
              <w:jc w:val="left"/>
            </w:pPr>
            <w:r>
              <w:rPr>
                <w:rFonts w:ascii="Calibri" w:eastAsia="SimSun"/>
                <w:color w:val="000000"/>
                <w:sz w:val="20"/>
                <w:szCs w:val="20"/>
              </w:rPr>
              <w:t xml:space="preserve">Section 7.1</w:t>
            </w:r>
          </w:p>
        </w:tc>
      </w:tr>
    </w:tbl>
    <w:p>
      <w:pPr>
        <w:pStyle w:val="Heading1"/>
        <w:spacing w:after="200" w:before="480"/>
      </w:pPr>
      <w:bookmarkStart w:id="100041" w:name="_Toc100041"/>
      <w:r>
        <w:rPr>
          <w:rFonts w:ascii="Times New Roman" w:eastAsia="SimHei"/>
          <w:b/>
          <w:bCs/>
          <w:color w:val="0A0A0A"/>
          <w:sz w:val="32"/>
          <w:szCs w:val="32"/>
        </w:rPr>
        <w:t xml:space="preserve">12  References</w:t>
      </w:r>
      <w:bookmarkEnd w:id="100041"/>
    </w:p>
    <w:p>
      <w:pPr>
        <w:keepNext w:val="false"/>
        <w:spacing w:after="80" w:line="312"/>
        <w:ind w:firstLine="480"/>
        <w:jc w:val="both"/>
      </w:pPr>
      <w:r>
        <w:rPr>
          <w:rFonts w:ascii="Times New Roman" w:eastAsia="SimSun"/>
          <w:b w:val="false"/>
          <w:bCs w:val="false"/>
          <w:i w:val="false"/>
          <w:iCs w:val="false"/>
          <w:color w:val="000000"/>
          <w:sz w:val="24"/>
          <w:szCs w:val="24"/>
        </w:rPr>
        <w:t xml:space="preserve">The following references are cited in this document. All references are to peer-reviewed publications, established regulatory standards, or authoritative textbooks. This section was added in direct response to the audit finding that the prior version contained zero citations, a deficiency that severely undermined the credibility of the framework. The references are organized by topic area and formatted in APA style.</w:t>
      </w:r>
    </w:p>
    <w:p>
      <w:pPr>
        <w:pStyle w:val="Heading2"/>
        <w:spacing w:after="160" w:before="360"/>
      </w:pPr>
      <w:bookmarkStart w:id="100042" w:name="_Toc100042"/>
      <w:r>
        <w:rPr>
          <w:rFonts w:ascii="Times New Roman" w:eastAsia="SimHei"/>
          <w:b/>
          <w:bCs/>
          <w:color w:val="0A0A0A"/>
          <w:sz w:val="28"/>
          <w:szCs w:val="28"/>
        </w:rPr>
        <w:t xml:space="preserve">12.1  Neuroscience and EEG</w:t>
      </w:r>
      <w:bookmarkEnd w:id="100042"/>
    </w:p>
    <w:p>
      <w:pPr>
        <w:keepNext w:val="false"/>
        <w:spacing w:after="80" w:line="312"/>
        <w:jc w:val="left"/>
      </w:pPr>
      <w:r>
        <w:rPr>
          <w:rFonts w:ascii="Times New Roman" w:eastAsia="SimSun"/>
          <w:b w:val="false"/>
          <w:bCs w:val="false"/>
          <w:i w:val="false"/>
          <w:iCs w:val="false"/>
          <w:color w:val="000000"/>
          <w:sz w:val="24"/>
          <w:szCs w:val="24"/>
        </w:rPr>
        <w:t xml:space="preserve">Acebron, J. A., Bonilla, L. L., Perez Vicente, C. J., Ritort, F., &amp; Spigler, R. (2005). The Kuramoto model: A simple paradigm for synchronization phenomena. Reviews of Modern Physics, 77(1), 137–185.</w:t>
      </w:r>
    </w:p>
    <w:p>
      <w:pPr>
        <w:keepNext w:val="false"/>
        <w:spacing w:after="80" w:line="312"/>
        <w:jc w:val="left"/>
      </w:pPr>
      <w:r>
        <w:rPr>
          <w:rFonts w:ascii="Times New Roman" w:eastAsia="SimSun"/>
          <w:b w:val="false"/>
          <w:bCs w:val="false"/>
          <w:i w:val="false"/>
          <w:iCs w:val="false"/>
          <w:color w:val="000000"/>
          <w:sz w:val="24"/>
          <w:szCs w:val="24"/>
        </w:rPr>
        <w:t xml:space="preserve">Blankertz, B., Lemm, S., Treder, M., Haufe, S., &amp; Muller, K. R. (2011). Single-trial analysis and classification of ERP components — A tutorial. NeuroImage, 56(2), 814–825.</w:t>
      </w:r>
    </w:p>
    <w:p>
      <w:pPr>
        <w:keepNext w:val="false"/>
        <w:spacing w:after="80" w:line="312"/>
        <w:jc w:val="left"/>
      </w:pPr>
      <w:r>
        <w:rPr>
          <w:rFonts w:ascii="Times New Roman" w:eastAsia="SimSun"/>
          <w:b w:val="false"/>
          <w:bCs w:val="false"/>
          <w:i w:val="false"/>
          <w:iCs w:val="false"/>
          <w:color w:val="000000"/>
          <w:sz w:val="24"/>
          <w:szCs w:val="24"/>
        </w:rPr>
        <w:t xml:space="preserve">Luck, S. J. (2014). An Introduction to the Event-Related Potential Technique (2nd ed.). MIT Press.</w:t>
      </w:r>
    </w:p>
    <w:p>
      <w:pPr>
        <w:keepNext w:val="false"/>
        <w:spacing w:after="80" w:line="312"/>
        <w:jc w:val="left"/>
      </w:pPr>
      <w:r>
        <w:rPr>
          <w:rFonts w:ascii="Times New Roman" w:eastAsia="SimSun"/>
          <w:b w:val="false"/>
          <w:bCs w:val="false"/>
          <w:i w:val="false"/>
          <w:iCs w:val="false"/>
          <w:color w:val="000000"/>
          <w:sz w:val="24"/>
          <w:szCs w:val="24"/>
        </w:rPr>
        <w:t xml:space="preserve">Näätänen, R., Paavilainen, P., Rinne, T., &amp; Alho, K. (2007). The mismatch negativity (MMN) in basic research of central auditory processing: A review. Clinical Neurophysiology, 118(12), 2544–2590.</w:t>
      </w:r>
    </w:p>
    <w:p>
      <w:pPr>
        <w:keepNext w:val="false"/>
        <w:spacing w:after="80" w:line="312"/>
        <w:jc w:val="left"/>
      </w:pPr>
      <w:r>
        <w:rPr>
          <w:rFonts w:ascii="Times New Roman" w:eastAsia="SimSun"/>
          <w:b w:val="false"/>
          <w:bCs w:val="false"/>
          <w:i w:val="false"/>
          <w:iCs w:val="false"/>
          <w:color w:val="000000"/>
          <w:sz w:val="24"/>
          <w:szCs w:val="24"/>
        </w:rPr>
        <w:t xml:space="preserve">Pascual-Marqui, R. D. (1999). Review of methods for solving the EEG inverse problem. International Journal of Bioelectromagnetism, 1(1), 75–86.</w:t>
      </w:r>
    </w:p>
    <w:p>
      <w:pPr>
        <w:keepNext w:val="false"/>
        <w:spacing w:after="80" w:line="312"/>
        <w:jc w:val="left"/>
      </w:pPr>
      <w:r>
        <w:rPr>
          <w:rFonts w:ascii="Times New Roman" w:eastAsia="SimSun"/>
          <w:b w:val="false"/>
          <w:bCs w:val="false"/>
          <w:i w:val="false"/>
          <w:iCs w:val="false"/>
          <w:color w:val="000000"/>
          <w:sz w:val="24"/>
          <w:szCs w:val="24"/>
        </w:rPr>
        <w:t xml:space="preserve">Polich, J. (2007). Updating P300: An integrative theory of P3a and P3b. Clinical Neurophysiology, 118(10), 2128–2148.</w:t>
      </w:r>
    </w:p>
    <w:p>
      <w:pPr>
        <w:keepNext w:val="false"/>
        <w:spacing w:after="80" w:line="312"/>
        <w:jc w:val="left"/>
      </w:pPr>
      <w:r>
        <w:rPr>
          <w:rFonts w:ascii="Times New Roman" w:eastAsia="SimSun"/>
          <w:b w:val="false"/>
          <w:bCs w:val="false"/>
          <w:i w:val="false"/>
          <w:iCs w:val="false"/>
          <w:color w:val="000000"/>
          <w:sz w:val="24"/>
          <w:szCs w:val="24"/>
        </w:rPr>
        <w:t xml:space="preserve">Strogatz, S. H. (2000). From Kuramoto to Crawford: Exploring the onset of synchronization in populations of coupled oscillators. Physica D, 143(1–4), 1–20.</w:t>
      </w:r>
    </w:p>
    <w:p>
      <w:pPr>
        <w:keepNext w:val="false"/>
        <w:spacing w:after="80" w:line="312"/>
        <w:jc w:val="left"/>
      </w:pPr>
      <w:r>
        <w:rPr>
          <w:rFonts w:ascii="Times New Roman" w:eastAsia="SimSun"/>
          <w:b w:val="false"/>
          <w:bCs w:val="false"/>
          <w:i w:val="false"/>
          <w:iCs w:val="false"/>
          <w:color w:val="000000"/>
          <w:sz w:val="24"/>
          <w:szCs w:val="24"/>
        </w:rPr>
        <w:t xml:space="preserve">Van Veen, B. D., van Drongelen, W., Yuchtman, M., &amp; Suzuki, A. (1997). Localization of brain electrical activity via linearly constrained minimum variance spatial filtering. IEEE Transactions on Biomedical Engineering, 44(9), 867–880.</w:t>
      </w:r>
    </w:p>
    <w:p>
      <w:pPr>
        <w:pStyle w:val="Heading2"/>
        <w:spacing w:after="160" w:before="360"/>
      </w:pPr>
      <w:bookmarkStart w:id="100043" w:name="_Toc100043"/>
      <w:r>
        <w:rPr>
          <w:rFonts w:ascii="Times New Roman" w:eastAsia="SimHei"/>
          <w:b/>
          <w:bCs/>
          <w:color w:val="0A0A0A"/>
          <w:sz w:val="28"/>
          <w:szCs w:val="28"/>
        </w:rPr>
        <w:t xml:space="preserve">12.2  Acoustics and Ultrasound</w:t>
      </w:r>
      <w:bookmarkEnd w:id="100043"/>
    </w:p>
    <w:p>
      <w:pPr>
        <w:keepNext w:val="false"/>
        <w:spacing w:after="80" w:line="312"/>
        <w:jc w:val="left"/>
      </w:pPr>
      <w:r>
        <w:rPr>
          <w:rFonts w:ascii="Times New Roman" w:eastAsia="SimSun"/>
          <w:b w:val="false"/>
          <w:bCs w:val="false"/>
          <w:i w:val="false"/>
          <w:iCs w:val="false"/>
          <w:color w:val="000000"/>
          <w:sz w:val="24"/>
          <w:szCs w:val="24"/>
        </w:rPr>
        <w:t xml:space="preserve">AIUM. (2020). AIUM Statement on Thermal and Mechanical Biological Effects: In Vitro and In Vivo Mammalian Tissues. American Institute of Ultrasound in Medicine.</w:t>
      </w:r>
    </w:p>
    <w:p>
      <w:pPr>
        <w:keepNext w:val="false"/>
        <w:spacing w:after="80" w:line="312"/>
        <w:jc w:val="left"/>
      </w:pPr>
      <w:r>
        <w:rPr>
          <w:rFonts w:ascii="Times New Roman" w:eastAsia="SimSun"/>
          <w:b w:val="false"/>
          <w:bCs w:val="false"/>
          <w:i w:val="false"/>
          <w:iCs w:val="false"/>
          <w:color w:val="000000"/>
          <w:sz w:val="24"/>
          <w:szCs w:val="24"/>
        </w:rPr>
        <w:t xml:space="preserve">Darrow, D. P., Doshi, M. K., Batra, A., &amp; Bhatt, A. (2021). Transcranial focused ultrasound neuromodulation: A review. Journal of Ultrasound in Medicine, 40(4), 715–727.</w:t>
      </w:r>
    </w:p>
    <w:p>
      <w:pPr>
        <w:keepNext w:val="false"/>
        <w:spacing w:after="80" w:line="312"/>
        <w:jc w:val="left"/>
      </w:pPr>
      <w:r>
        <w:rPr>
          <w:rFonts w:ascii="Times New Roman" w:eastAsia="SimSun"/>
          <w:b w:val="false"/>
          <w:bCs w:val="false"/>
          <w:i w:val="false"/>
          <w:iCs w:val="false"/>
          <w:color w:val="000000"/>
          <w:sz w:val="24"/>
          <w:szCs w:val="24"/>
        </w:rPr>
        <w:t xml:space="preserve">FDA. (2008). Guidance for Industry and FDA Staff: Information for Manufacturers Seeking Marketing Clearance of Diagnostic Ultrasound Transducers. U.S. Food and Drug Administration.</w:t>
      </w:r>
    </w:p>
    <w:p>
      <w:pPr>
        <w:keepNext w:val="false"/>
        <w:spacing w:after="80" w:line="312"/>
        <w:jc w:val="left"/>
      </w:pPr>
      <w:r>
        <w:rPr>
          <w:rFonts w:ascii="Times New Roman" w:eastAsia="SimSun"/>
          <w:b w:val="false"/>
          <w:bCs w:val="false"/>
          <w:i w:val="false"/>
          <w:iCs w:val="false"/>
          <w:color w:val="000000"/>
          <w:sz w:val="24"/>
          <w:szCs w:val="24"/>
        </w:rPr>
        <w:t xml:space="preserve">Hasgall, P. A., Di Gennaro, F., Baumgartner, C., Neufeld, E., Gosselin, M. C., Payne, D., ... &amp; Kuster, N. (2015). IT’IS Database for thermal and electromagnetic parameters of biological tissues (Version 3.0). doi:10.13099/VIP21000-03-0.</w:t>
      </w:r>
    </w:p>
    <w:p>
      <w:pPr>
        <w:keepNext w:val="false"/>
        <w:spacing w:after="80" w:line="312"/>
        <w:jc w:val="left"/>
      </w:pPr>
      <w:r>
        <w:rPr>
          <w:rFonts w:ascii="Times New Roman" w:eastAsia="SimSun"/>
          <w:b w:val="false"/>
          <w:bCs w:val="false"/>
          <w:i w:val="false"/>
          <w:iCs w:val="false"/>
          <w:color w:val="000000"/>
          <w:sz w:val="24"/>
          <w:szCs w:val="24"/>
        </w:rPr>
        <w:t xml:space="preserve">Legon, W., Sato, T. F., Opitz, A., Mueller, J., Barbour, A., Williams, A., &amp; Tyler, W. J. (2014). Transcranial focused ultrasound modulates the activity of primary somatosensory cortex in humans. Nature Neuroscience, 17(2), 322–329.</w:t>
      </w:r>
    </w:p>
    <w:p>
      <w:pPr>
        <w:keepNext w:val="false"/>
        <w:spacing w:after="80" w:line="312"/>
        <w:jc w:val="left"/>
      </w:pPr>
      <w:r>
        <w:rPr>
          <w:rFonts w:ascii="Times New Roman" w:eastAsia="SimSun"/>
          <w:b w:val="false"/>
          <w:bCs w:val="false"/>
          <w:i w:val="false"/>
          <w:iCs w:val="false"/>
          <w:color w:val="000000"/>
          <w:sz w:val="24"/>
          <w:szCs w:val="24"/>
        </w:rPr>
        <w:t xml:space="preserve">Tyler, W. J., Tufail, Y., Finsterwald, M., Tauchmann, M. L., Olson, E. J., &amp; Majestic, C. (2008). Remote excitation of neuronal circuits using low-intensity, low-frequency ultrasound. PLoS ONE, 3(10), e3511.</w:t>
      </w:r>
    </w:p>
    <w:p>
      <w:pPr>
        <w:pStyle w:val="Heading2"/>
        <w:spacing w:after="160" w:before="360"/>
      </w:pPr>
      <w:bookmarkStart w:id="100044" w:name="_Toc100044"/>
      <w:r>
        <w:rPr>
          <w:rFonts w:ascii="Times New Roman" w:eastAsia="SimHei"/>
          <w:b/>
          <w:bCs/>
          <w:color w:val="0A0A0A"/>
          <w:sz w:val="28"/>
          <w:szCs w:val="28"/>
        </w:rPr>
        <w:t xml:space="preserve">12.3  Mathematics and Signal Processing</w:t>
      </w:r>
      <w:bookmarkEnd w:id="100044"/>
    </w:p>
    <w:p>
      <w:pPr>
        <w:keepNext w:val="false"/>
        <w:spacing w:after="80" w:line="312"/>
        <w:jc w:val="left"/>
      </w:pPr>
      <w:r>
        <w:rPr>
          <w:rFonts w:ascii="Times New Roman" w:eastAsia="SimSun"/>
          <w:b w:val="false"/>
          <w:bCs w:val="false"/>
          <w:i w:val="false"/>
          <w:iCs w:val="false"/>
          <w:color w:val="000000"/>
          <w:sz w:val="24"/>
          <w:szCs w:val="24"/>
        </w:rPr>
        <w:t xml:space="preserve">Huang, Y., Zhang, Y., Li, N., &amp; Chambers, J. A. (2018). A robust Gaussian-approximate fixed-interval smoother for nonlinear systems with heavy-tailed process and measurement noises. IEEE Signal Processing Letters, 25(8), 1208–1212.</w:t>
      </w:r>
    </w:p>
    <w:p>
      <w:pPr>
        <w:keepNext w:val="false"/>
        <w:spacing w:after="80" w:line="312"/>
        <w:jc w:val="left"/>
      </w:pPr>
      <w:r>
        <w:rPr>
          <w:rFonts w:ascii="Times New Roman" w:eastAsia="SimSun"/>
          <w:b w:val="false"/>
          <w:bCs w:val="false"/>
          <w:i w:val="false"/>
          <w:iCs w:val="false"/>
          <w:color w:val="000000"/>
          <w:sz w:val="24"/>
          <w:szCs w:val="24"/>
        </w:rPr>
        <w:t xml:space="preserve">Proctor, J. L., Brunton, S. L., &amp; Kutz, J. N. (2016). Dynamic mode decomposition with control. SIAM Journal on Applied Dynamical Systems, 15(1), 142–161.</w:t>
      </w:r>
    </w:p>
    <w:p>
      <w:pPr>
        <w:keepNext w:val="false"/>
        <w:spacing w:after="80" w:line="312"/>
        <w:jc w:val="left"/>
      </w:pPr>
      <w:r>
        <w:rPr>
          <w:rFonts w:ascii="Times New Roman" w:eastAsia="SimSun"/>
          <w:b w:val="false"/>
          <w:bCs w:val="false"/>
          <w:i w:val="false"/>
          <w:iCs w:val="false"/>
          <w:color w:val="000000"/>
          <w:sz w:val="24"/>
          <w:szCs w:val="24"/>
        </w:rPr>
        <w:t xml:space="preserve">Strogatz, S. H. (2015). Nonlinear Dynamics and Chaos: With Applications to Physics, Biology, Chemistry, and Engineering (2nd ed.). Westview Press.</w:t>
      </w:r>
    </w:p>
    <w:p>
      <w:pPr>
        <w:keepNext w:val="false"/>
        <w:spacing w:after="80" w:line="312"/>
        <w:jc w:val="left"/>
      </w:pPr>
      <w:r>
        <w:rPr>
          <w:rFonts w:ascii="Times New Roman" w:eastAsia="SimSun"/>
          <w:b w:val="false"/>
          <w:bCs w:val="false"/>
          <w:i w:val="false"/>
          <w:iCs w:val="false"/>
          <w:color w:val="000000"/>
          <w:sz w:val="24"/>
          <w:szCs w:val="24"/>
        </w:rPr>
        <w:t xml:space="preserve">Thomson, D. J. (1982). Spectrum estimation and harmonic analysis. Proceedings of the IEEE, 70(9), 1055–1096.</w:t>
      </w:r>
    </w:p>
    <w:p>
      <w:pPr>
        <w:pStyle w:val="Heading2"/>
        <w:spacing w:after="160" w:before="360"/>
      </w:pPr>
      <w:bookmarkStart w:id="100045" w:name="_Toc100045"/>
      <w:r>
        <w:rPr>
          <w:rFonts w:ascii="Times New Roman" w:eastAsia="SimHei"/>
          <w:b/>
          <w:bCs/>
          <w:color w:val="0A0A0A"/>
          <w:sz w:val="28"/>
          <w:szCs w:val="28"/>
        </w:rPr>
        <w:t xml:space="preserve">12.4  Philosophy of Mind and Physics</w:t>
      </w:r>
      <w:bookmarkEnd w:id="100045"/>
    </w:p>
    <w:p>
      <w:pPr>
        <w:keepNext w:val="false"/>
        <w:spacing w:after="80" w:line="312"/>
        <w:jc w:val="left"/>
      </w:pPr>
      <w:r>
        <w:rPr>
          <w:rFonts w:ascii="Times New Roman" w:eastAsia="SimSun"/>
          <w:b w:val="false"/>
          <w:bCs w:val="false"/>
          <w:i w:val="false"/>
          <w:iCs w:val="false"/>
          <w:color w:val="000000"/>
          <w:sz w:val="24"/>
          <w:szCs w:val="24"/>
        </w:rPr>
        <w:t xml:space="preserve">Hameroff, S., &amp; Penrose, R. (2014). Consciousness in the universe: A review of the ‘Orch OR’ theory. Physics of Life Reviews, 11(1), 39–78.</w:t>
      </w:r>
    </w:p>
    <w:p>
      <w:pPr>
        <w:keepNext w:val="false"/>
        <w:spacing w:after="80" w:line="312"/>
        <w:jc w:val="left"/>
      </w:pPr>
      <w:r>
        <w:rPr>
          <w:rFonts w:ascii="Times New Roman" w:eastAsia="SimSun"/>
          <w:b w:val="false"/>
          <w:bCs w:val="false"/>
          <w:i w:val="false"/>
          <w:iCs w:val="false"/>
          <w:color w:val="000000"/>
          <w:sz w:val="24"/>
          <w:szCs w:val="24"/>
        </w:rPr>
        <w:t xml:space="preserve">Mayr, E. (1974). Teleological and teleonomic: A new analysis. Boston Studies in the Philosophy of Science, 14, 91–117.</w:t>
      </w:r>
    </w:p>
    <w:p>
      <w:pPr>
        <w:keepNext w:val="false"/>
        <w:spacing w:after="80" w:line="312"/>
        <w:jc w:val="left"/>
      </w:pPr>
      <w:r>
        <w:rPr>
          <w:rFonts w:ascii="Times New Roman" w:eastAsia="SimSun"/>
          <w:b w:val="false"/>
          <w:bCs w:val="false"/>
          <w:i w:val="false"/>
          <w:iCs w:val="false"/>
          <w:color w:val="000000"/>
          <w:sz w:val="24"/>
          <w:szCs w:val="24"/>
        </w:rPr>
        <w:t xml:space="preserve">Tegmark, M. (2000). Importance of quantum decoherence in brain processes. Physical Review E, 61(4), 4194–4206.</w:t>
      </w:r>
    </w:p>
    <w:p>
      <w:pPr>
        <w:pStyle w:val="Heading1"/>
        <w:spacing w:after="200" w:before="480"/>
      </w:pPr>
      <w:bookmarkStart w:id="100046" w:name="_Toc100046"/>
      <w:r>
        <w:rPr>
          <w:rFonts w:ascii="Times New Roman" w:eastAsia="SimHei"/>
          <w:b/>
          <w:bCs/>
          <w:color w:val="0A0A0A"/>
          <w:sz w:val="32"/>
          <w:szCs w:val="32"/>
        </w:rPr>
        <w:t xml:space="preserve">13  Comprehensive Disclaimers</w:t>
      </w:r>
      <w:bookmarkEnd w:id="100046"/>
    </w:p>
    <w:p>
      <w:pPr>
        <w:keepNext w:val="false"/>
        <w:spacing w:after="80" w:line="312"/>
        <w:ind w:firstLine="480"/>
        <w:jc w:val="both"/>
      </w:pPr>
      <w:r>
        <w:rPr>
          <w:rFonts w:ascii="Times New Roman" w:eastAsia="SimSun"/>
          <w:b w:val="false"/>
          <w:bCs w:val="false"/>
          <w:i w:val="false"/>
          <w:iCs w:val="false"/>
          <w:color w:val="000000"/>
          <w:sz w:val="24"/>
          <w:szCs w:val="24"/>
        </w:rPr>
        <w:t xml:space="preserve">This section consolidates all disclaimers applicable to the NATE vΞ⁷·₁ framework. These disclaimers are not merely legal boilerplate; they reflect the fundamental epistemological status of the framework as a speculative theoretical proposal. Any use, citation, or discussion of this framework must acknowledge these limitations.</w:t>
      </w:r>
    </w:p>
    <w:p>
      <w:pPr>
        <w:pStyle w:val="Heading2"/>
        <w:spacing w:after="160" w:before="360"/>
      </w:pPr>
      <w:bookmarkStart w:id="100047" w:name="_Toc100047"/>
      <w:r>
        <w:rPr>
          <w:rFonts w:ascii="Times New Roman" w:eastAsia="SimHei"/>
          <w:b/>
          <w:bCs/>
          <w:color w:val="0A0A0A"/>
          <w:sz w:val="28"/>
          <w:szCs w:val="28"/>
        </w:rPr>
        <w:t xml:space="preserve">13.1  Not a Medical Device</w:t>
      </w:r>
      <w:bookmarkEnd w:id="100047"/>
    </w:p>
    <w:p>
      <w:pPr>
        <w:keepNext w:val="false"/>
        <w:spacing w:after="80" w:line="312"/>
        <w:ind w:firstLine="480"/>
        <w:jc w:val="both"/>
      </w:pPr>
      <w:r>
        <w:rPr>
          <w:rFonts w:ascii="Times New Roman" w:eastAsia="SimSun"/>
          <w:b w:val="false"/>
          <w:bCs w:val="false"/>
          <w:i w:val="false"/>
          <w:iCs w:val="false"/>
          <w:color w:val="000000"/>
          <w:sz w:val="24"/>
          <w:szCs w:val="24"/>
        </w:rPr>
        <w:t xml:space="preserve">NATE is not a medical device, therapeutic intervention, diagnostic tool, or clinical treatment protocol. Nothing in this document should be construed as medical advice, a recommendation for treatment, or a claim of therapeutic efficacy. The framework describes a hypothetical system architecture that has not been implemented, tested in vivo, or subjected to any form of clinical evaluation. Any attempt to implement this framework as a medical device would require extensive preclinical and clinical testing, regulatory approval from the FDA or equivalent national authority, and institutional review board (IRB) oversight.</w:t>
      </w:r>
    </w:p>
    <w:p>
      <w:pPr>
        <w:pStyle w:val="Heading2"/>
        <w:spacing w:after="160" w:before="360"/>
      </w:pPr>
      <w:bookmarkStart w:id="100048" w:name="_Toc100048"/>
      <w:r>
        <w:rPr>
          <w:rFonts w:ascii="Times New Roman" w:eastAsia="SimHei"/>
          <w:b/>
          <w:bCs/>
          <w:color w:val="0A0A0A"/>
          <w:sz w:val="28"/>
          <w:szCs w:val="28"/>
        </w:rPr>
        <w:t xml:space="preserve">13.2  Speculative Theoretical Status</w:t>
      </w:r>
      <w:bookmarkEnd w:id="100048"/>
    </w:p>
    <w:p>
      <w:pPr>
        <w:keepNext w:val="false"/>
        <w:spacing w:after="80" w:line="312"/>
        <w:ind w:firstLine="480"/>
        <w:jc w:val="both"/>
      </w:pPr>
      <w:r>
        <w:rPr>
          <w:rFonts w:ascii="Times New Roman" w:eastAsia="SimSun"/>
          <w:b w:val="false"/>
          <w:bCs w:val="false"/>
          <w:i w:val="false"/>
          <w:iCs w:val="false"/>
          <w:color w:val="000000"/>
          <w:sz w:val="24"/>
          <w:szCs w:val="24"/>
        </w:rPr>
        <w:t xml:space="preserve">NATE, including the UTD framework, MOGOPS axiom set, and ontological framework, is a speculative theoretical proposal. Its components have not been empirically validated, and several of its central hypotheses are, by their nature, difficult or impossible to test with current technology. The mathematical formalism presented in this document is internally consistent to the best of the authors’ knowledge, but internal consistency is a necessary but not sufficient condition for truth. A mathematically elegant theory that makes no testable predictions is, in the words of Wolfgang Pauli, “not even wrong.” The authors acknowledge this risk and encourage rigorous testing of every testable component.</w:t>
      </w:r>
    </w:p>
    <w:p>
      <w:pPr>
        <w:pStyle w:val="Heading2"/>
        <w:spacing w:after="160" w:before="360"/>
      </w:pPr>
      <w:bookmarkStart w:id="100049" w:name="_Toc100049"/>
      <w:r>
        <w:rPr>
          <w:rFonts w:ascii="Times New Roman" w:eastAsia="SimHei"/>
          <w:b/>
          <w:bCs/>
          <w:color w:val="0A0A0A"/>
          <w:sz w:val="28"/>
          <w:szCs w:val="28"/>
        </w:rPr>
        <w:t xml:space="preserve">13.3  No Endorsement of Pseudoscientific Claims</w:t>
      </w:r>
      <w:bookmarkEnd w:id="100049"/>
    </w:p>
    <w:p>
      <w:pPr>
        <w:keepNext w:val="false"/>
        <w:spacing w:after="80" w:line="312"/>
        <w:ind w:firstLine="480"/>
        <w:jc w:val="both"/>
      </w:pPr>
      <w:r>
        <w:rPr>
          <w:rFonts w:ascii="Times New Roman" w:eastAsia="SimSun"/>
          <w:b w:val="false"/>
          <w:bCs w:val="false"/>
          <w:i w:val="false"/>
          <w:iCs w:val="false"/>
          <w:color w:val="000000"/>
          <w:sz w:val="24"/>
          <w:szCs w:val="24"/>
        </w:rPr>
        <w:t xml:space="preserve">This document does not endorse, support, or provide evidence for any pseudoscientific, paranormal, or New Age claims, including but not limited to: solfeggio frequencies, crystal healing, consciousness-based energy healing, telepathy, clairvoyance, or any form of supernatural phenomenon. The use of the term “transmutation” in the framework name is acknowledged to carry historical associations with alchemy, and alternative terminology has been proposed in Section 6.2. The 369 Hz frequency mentioned in prior versions has no special status in the revised framework and is treated as one of many possible modulation parameters to be explored empirically, without any a priori claim of unique efficacy.</w:t>
      </w:r>
    </w:p>
    <w:p>
      <w:pPr>
        <w:pStyle w:val="Heading2"/>
        <w:spacing w:after="160" w:before="360"/>
      </w:pPr>
      <w:bookmarkStart w:id="100050" w:name="_Toc100050"/>
      <w:r>
        <w:rPr>
          <w:rFonts w:ascii="Times New Roman" w:eastAsia="SimHei"/>
          <w:b/>
          <w:bCs/>
          <w:color w:val="0A0A0A"/>
          <w:sz w:val="28"/>
          <w:szCs w:val="28"/>
        </w:rPr>
        <w:t xml:space="preserve">13.4  Regulatory Compliance Responsibility</w:t>
      </w:r>
      <w:bookmarkEnd w:id="100050"/>
    </w:p>
    <w:p>
      <w:pPr>
        <w:keepNext w:val="false"/>
        <w:spacing w:after="80" w:line="312"/>
        <w:ind w:firstLine="480"/>
        <w:jc w:val="both"/>
      </w:pPr>
      <w:r>
        <w:rPr>
          <w:rFonts w:ascii="Times New Roman" w:eastAsia="SimSun"/>
          <w:b w:val="false"/>
          <w:bCs w:val="false"/>
          <w:i w:val="false"/>
          <w:iCs w:val="false"/>
          <w:color w:val="000000"/>
          <w:sz w:val="24"/>
          <w:szCs w:val="24"/>
        </w:rPr>
        <w:t xml:space="preserve">Any individual or organization considering the implementation of hardware or software based on the concepts described in this document bears sole responsibility for ensuring compliance with all applicable laws, regulations, and ethical standards. This includes but is not limited to: FDA medical device regulations (21 CFR Parts 800–1299), IEC safety standards for medical electrical equipment (IEC 60601 series), radiation safety regulations for acoustic energy, and the ethical principles governing human subjects research (Belmont Report, Declaration of Helsinki). The authors of this document accept no liability for any misuse, misinterpretation, or unauthorized implementation of the concepts described herein.</w:t>
      </w:r>
    </w:p>
    <w:p>
      <w:pPr>
        <w:pStyle w:val="Heading2"/>
        <w:spacing w:after="160" w:before="360"/>
      </w:pPr>
      <w:bookmarkStart w:id="100051" w:name="_Toc100051"/>
      <w:r>
        <w:rPr>
          <w:rFonts w:ascii="Times New Roman" w:eastAsia="SimHei"/>
          <w:b/>
          <w:bCs/>
          <w:color w:val="0A0A0A"/>
          <w:sz w:val="28"/>
          <w:szCs w:val="28"/>
        </w:rPr>
        <w:t xml:space="preserve">13.5  Intellectual Property and Attribution</w:t>
      </w:r>
      <w:bookmarkEnd w:id="100051"/>
    </w:p>
    <w:p>
      <w:pPr>
        <w:keepNext w:val="false"/>
        <w:spacing w:after="80" w:line="312"/>
        <w:ind w:firstLine="480"/>
        <w:jc w:val="both"/>
      </w:pPr>
      <w:r>
        <w:rPr>
          <w:rFonts w:ascii="Times New Roman" w:eastAsia="SimSun"/>
          <w:b w:val="false"/>
          <w:bCs w:val="false"/>
          <w:i w:val="false"/>
          <w:iCs w:val="false"/>
          <w:color w:val="000000"/>
          <w:sz w:val="24"/>
          <w:szCs w:val="24"/>
        </w:rPr>
        <w:t xml:space="preserve">The NATE framework, UTD formalism, and MOGOPS axiom set are original intellectual contributions of the document authors. However, they build upon established mathematical techniques (DMDc, UKF, Pennes bioheat equation, WKB approximation) and established scientific knowledge (EEG signal processing, tFUS neuromodulation) that are properly attributed in the references. The unified equations proposed by the external auditor (24 items) have been evaluated in this revision where applicable; those that have been adopted are attributed to the auditor, and those that have been deferred are acknowledged with the rationale for deferral.</w:t>
      </w:r>
    </w:p>
    <w:sectPr>
      <w:headerReference w:type="default" r:id="rId9"/>
      <w:footerReference w:type="default" r:id="rId10"/>
      <w:type w:val="nextPage"/>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B6B7D"/>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B6B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Microsoft YaHei"/>
        <w:i/>
        <w:iCs/>
        <w:color w:val="5B6B7D"/>
        <w:sz w:val="16"/>
        <w:szCs w:val="16"/>
      </w:rPr>
      <w:t xml:space="preserve">NATE vΞ⁷·₁  —  Comprehensive Revised Framework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Microsoft YaHei"/>
        <w:i/>
        <w:iCs/>
        <w:color w:val="5B6B7D"/>
        <w:sz w:val="16"/>
        <w:szCs w:val="16"/>
      </w:rPr>
      <w:t xml:space="preserve">NATE vΞ⁷·₁  —  Comprehensive Revised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outlineLvl w:val="0"/>
    </w:pPr>
    <w:rPr>
      <w:rFonts w:ascii="Times New Roman" w:eastAsia="SimHei"/>
      <w:b/>
      <w:bCs/>
      <w:color w:val="0A0A0A"/>
      <w:sz w:val="32"/>
      <w:szCs w:val="32"/>
    </w:rPr>
  </w:style>
  <w:style w:type="paragraph" w:styleId="Heading2">
    <w:name w:val="Heading 2"/>
    <w:basedOn w:val="Normal"/>
    <w:next w:val="Normal"/>
    <w:qFormat/>
    <w:pPr>
      <w:spacing w:after="160" w:before="360"/>
      <w:outlineLvl w:val="1"/>
    </w:pPr>
    <w:rPr>
      <w:rFonts w:ascii="Times New Roman" w:eastAsia="SimHei"/>
      <w:b/>
      <w:bCs/>
      <w:color w:val="0A0A0A"/>
      <w:sz w:val="28"/>
      <w:szCs w:val="28"/>
    </w:rPr>
  </w:style>
  <w:style w:type="paragraph" w:styleId="Heading3">
    <w:name w:val="Heading 3"/>
    <w:basedOn w:val="Normal"/>
    <w:next w:val="Normal"/>
    <w:qFormat/>
    <w:pPr>
      <w:spacing w:after="120" w:before="240"/>
      <w:outlineLvl w:val="2"/>
    </w:pPr>
    <w:rPr>
      <w:rFonts w:ascii="Times New Roman" w:eastAsia="SimHei"/>
      <w:b/>
      <w:bCs/>
      <w:color w:val="0A0A0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2026-04-14T00:50:26.732Z</dcterms:created>
  <dcterms:modified xsi:type="dcterms:W3CDTF">2026-04-14T00:50:26.732Z</dcterms:modified>
</cp:coreProperties>
</file>

<file path=docProps/custom.xml><?xml version="1.0" encoding="utf-8"?>
<Properties xmlns="http://schemas.openxmlformats.org/officeDocument/2006/custom-properties" xmlns:vt="http://schemas.openxmlformats.org/officeDocument/2006/docPropsVTypes"/>
</file>