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EXPLORATORY DATA ANALYSIS (EDA) REPORT</w:t>
      </w:r>
    </w:p>
    <w:p>
      <w:pPr>
        <w:spacing w:after="400"/>
        <w:jc w:val="center"/>
      </w:pPr>
      <w:r>
        <w:t xml:space="preserve">E-Commerce Order Dataset Analysis</w:t>
      </w:r>
    </w:p>
    <w:p>
      <w:pPr>
        <w:spacing w:after="100" w:before="200"/>
      </w:pPr>
      <w:r>
        <w:t xml:space="preserve">EXECUTIVE SUMMARY</w:t>
      </w:r>
    </w:p>
    <w:p>
      <w:pPr>
        <w:spacing w:after="200" w:line="360"/>
      </w:pPr>
      <w:r>
        <w:t xml:space="preserve">This report presents a comprehensive Exploratory Data Analysis (EDA) of an e-commerce order dataset containing 1,200 transaction records across 14 attributes. The analysis employs descriptive statistical methods to uncover patterns, trends, and outliers within the data, providing actionable insights for business decision-making.</w:t>
      </w:r>
    </w:p>
    <w:p>
      <w:pPr>
        <w:spacing w:after="100" w:before="200"/>
      </w:pPr>
      <w:r>
        <w:t xml:space="preserve">DATA OVERVIEW</w:t>
      </w:r>
    </w:p>
    <w:p>
      <w:pPr>
        <w:spacing w:after="100"/>
      </w:pPr>
      <w:r>
        <w:t xml:space="preserve">Dataset Dimensions:</w:t>
      </w:r>
    </w:p>
    <w:p>
      <w:pPr>
        <w:spacing w:after="50"/>
      </w:pPr>
      <w:r>
        <w:t xml:space="preserve">• Total Records (Rows): 1,200 orders</w:t>
      </w:r>
    </w:p>
    <w:p>
      <w:pPr>
        <w:spacing w:after="200"/>
      </w:pPr>
      <w:r>
        <w:t xml:space="preserve">• Total Attributes (Columns): 14 variables</w:t>
      </w:r>
    </w:p>
    <w:p>
      <w:pPr>
        <w:spacing w:after="100"/>
      </w:pPr>
      <w:r>
        <w:t xml:space="preserve">Key Data Categories:</w:t>
      </w:r>
    </w:p>
    <w:p>
      <w:pPr>
        <w:spacing w:after="50"/>
      </w:pPr>
      <w:r>
        <w:t xml:space="preserve">• Order Information: OrderID, Date, OrderStatus, TrackingNumber</w:t>
      </w:r>
    </w:p>
    <w:p>
      <w:pPr>
        <w:spacing w:after="50"/>
      </w:pPr>
      <w:r>
        <w:t xml:space="preserve">• Customer Data: CustomerID, ShippingAddress</w:t>
      </w:r>
    </w:p>
    <w:p>
      <w:pPr>
        <w:spacing w:after="50"/>
      </w:pPr>
      <w:r>
        <w:t xml:space="preserve">• Product Details: Product, Quantity, UnitPrice, ItemsInCart, TotalPrice</w:t>
      </w:r>
    </w:p>
    <w:p>
      <w:pPr>
        <w:spacing w:after="300"/>
      </w:pPr>
      <w:r>
        <w:t xml:space="preserve">• Transaction Details: PaymentMethod, CouponCode, ReferralSource</w:t>
      </w:r>
    </w:p>
    <w:p>
      <w:pPr>
        <w:spacing w:after="100" w:before="200"/>
      </w:pPr>
      <w:r>
        <w:t xml:space="preserve">NUMERIC COLUMNS ANALYSIS</w:t>
      </w:r>
    </w:p>
    <w:p>
      <w:pPr>
        <w:spacing w:after="200" w:line="360"/>
      </w:pPr>
      <w:r>
        <w:t xml:space="preserve">A comprehensive analysis of four numeric variables using descriptive statistics to understand their distributions, central tendencies, and variability: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03864"/>
            <w:vAlign w:val="center"/>
          </w:tcPr>
          <w:p>
            <w:r>
              <w:t xml:space="preserve">Metric</w:t>
            </w:r>
          </w:p>
        </w:tc>
        <w:tc>
          <w:tcPr>
            <w:shd w:fill="203864"/>
            <w:vAlign w:val="center"/>
          </w:tcPr>
          <w:p>
            <w:r>
              <w:t xml:space="preserve">Quantity</w:t>
            </w:r>
          </w:p>
        </w:tc>
        <w:tc>
          <w:tcPr>
            <w:shd w:fill="203864"/>
            <w:vAlign w:val="center"/>
          </w:tcPr>
          <w:p>
            <w:r>
              <w:t xml:space="preserve">UnitPrice</w:t>
            </w:r>
          </w:p>
        </w:tc>
        <w:tc>
          <w:tcPr>
            <w:shd w:fill="203864"/>
            <w:vAlign w:val="center"/>
          </w:tcPr>
          <w:p>
            <w:r>
              <w:t xml:space="preserve">ItemsInCart</w:t>
            </w:r>
          </w:p>
        </w:tc>
        <w:tc>
          <w:tcPr>
            <w:shd w:fill="203864"/>
            <w:vAlign w:val="center"/>
          </w:tcPr>
          <w:p>
            <w:r>
              <w:t xml:space="preserve">TotalPrice</w:t>
            </w:r>
          </w:p>
        </w:tc>
      </w:tr>
      <w:tr>
        <w:tc>
          <w:tcPr>
            <w:vAlign w:val="center"/>
          </w:tcPr>
          <w:p>
            <w:r>
              <w:t xml:space="preserve">Count</w:t>
            </w:r>
          </w:p>
        </w:tc>
        <w:tc>
          <w:tcPr>
            <w:vAlign w:val="center"/>
          </w:tcPr>
          <w:p>
            <w:r>
              <w:t xml:space="preserve">1,200</w:t>
            </w:r>
          </w:p>
        </w:tc>
        <w:tc>
          <w:tcPr>
            <w:vAlign w:val="center"/>
          </w:tcPr>
          <w:p>
            <w:r>
              <w:t xml:space="preserve">1,200</w:t>
            </w:r>
          </w:p>
        </w:tc>
        <w:tc>
          <w:tcPr>
            <w:vAlign w:val="center"/>
          </w:tcPr>
          <w:p>
            <w:r>
              <w:t xml:space="preserve">1,200</w:t>
            </w:r>
          </w:p>
        </w:tc>
        <w:tc>
          <w:tcPr>
            <w:vAlign w:val="center"/>
          </w:tcPr>
          <w:p>
            <w:r>
              <w:t xml:space="preserve">1,200</w:t>
            </w:r>
          </w:p>
        </w:tc>
      </w:tr>
      <w:tr>
        <w:tc>
          <w:tcPr>
            <w:vAlign w:val="center"/>
          </w:tcPr>
          <w:p>
            <w:r>
              <w:t xml:space="preserve">Mean</w:t>
            </w:r>
          </w:p>
        </w:tc>
        <w:tc>
          <w:tcPr>
            <w:vAlign w:val="center"/>
          </w:tcPr>
          <w:p>
            <w:r>
              <w:t xml:space="preserve">2.95</w:t>
            </w:r>
          </w:p>
        </w:tc>
        <w:tc>
          <w:tcPr>
            <w:vAlign w:val="center"/>
          </w:tcPr>
          <w:p>
            <w:r>
              <w:t xml:space="preserve">356.41</w:t>
            </w:r>
          </w:p>
        </w:tc>
        <w:tc>
          <w:tcPr>
            <w:vAlign w:val="center"/>
          </w:tcPr>
          <w:p>
            <w:r>
              <w:t xml:space="preserve">5.49</w:t>
            </w:r>
          </w:p>
        </w:tc>
        <w:tc>
          <w:tcPr>
            <w:vAlign w:val="center"/>
          </w:tcPr>
          <w:p>
            <w:r>
              <w:t xml:space="preserve">1,053.97</w:t>
            </w:r>
          </w:p>
        </w:tc>
      </w:tr>
      <w:tr>
        <w:tc>
          <w:tcPr>
            <w:vAlign w:val="center"/>
          </w:tcPr>
          <w:p>
            <w:r>
              <w:t xml:space="preserve">Median</w:t>
            </w:r>
          </w:p>
        </w:tc>
        <w:tc>
          <w:tcPr>
            <w:vAlign w:val="center"/>
          </w:tcPr>
          <w:p>
            <w:r>
              <w:t xml:space="preserve">3.00</w:t>
            </w:r>
          </w:p>
        </w:tc>
        <w:tc>
          <w:tcPr>
            <w:vAlign w:val="center"/>
          </w:tcPr>
          <w:p>
            <w:r>
              <w:t xml:space="preserve">364.21</w:t>
            </w:r>
          </w:p>
        </w:tc>
        <w:tc>
          <w:tcPr>
            <w:vAlign w:val="center"/>
          </w:tcPr>
          <w:p>
            <w:r>
              <w:t xml:space="preserve">5.00</w:t>
            </w:r>
          </w:p>
        </w:tc>
        <w:tc>
          <w:tcPr>
            <w:vAlign w:val="center"/>
          </w:tcPr>
          <w:p>
            <w:r>
              <w:t xml:space="preserve">823.62</w:t>
            </w:r>
          </w:p>
        </w:tc>
      </w:tr>
      <w:tr>
        <w:tc>
          <w:tcPr>
            <w:vAlign w:val="center"/>
          </w:tcPr>
          <w:p>
            <w:r>
              <w:t xml:space="preserve">Minimum</w:t>
            </w:r>
          </w:p>
        </w:tc>
        <w:tc>
          <w:tcPr>
            <w:vAlign w:val="center"/>
          </w:tcPr>
          <w:p>
            <w:r>
              <w:t xml:space="preserve">1</w:t>
            </w:r>
          </w:p>
        </w:tc>
        <w:tc>
          <w:tcPr>
            <w:vAlign w:val="center"/>
          </w:tcPr>
          <w:p>
            <w:r>
              <w:t xml:space="preserve">11.39</w:t>
            </w:r>
          </w:p>
        </w:tc>
        <w:tc>
          <w:tcPr>
            <w:vAlign w:val="center"/>
          </w:tcPr>
          <w:p>
            <w:r>
              <w:t xml:space="preserve">1</w:t>
            </w:r>
          </w:p>
        </w:tc>
        <w:tc>
          <w:tcPr>
            <w:vAlign w:val="center"/>
          </w:tcPr>
          <w:p>
            <w:r>
              <w:t xml:space="preserve">11.39</w:t>
            </w:r>
          </w:p>
        </w:tc>
      </w:tr>
      <w:tr>
        <w:tc>
          <w:tcPr>
            <w:vAlign w:val="center"/>
          </w:tcPr>
          <w:p>
            <w:r>
              <w:t xml:space="preserve">Maximum</w:t>
            </w:r>
          </w:p>
        </w:tc>
        <w:tc>
          <w:tcPr>
            <w:vAlign w:val="center"/>
          </w:tcPr>
          <w:p>
            <w:r>
              <w:t xml:space="preserve">5</w:t>
            </w:r>
          </w:p>
        </w:tc>
        <w:tc>
          <w:tcPr>
            <w:vAlign w:val="center"/>
          </w:tcPr>
          <w:p>
            <w:r>
              <w:t xml:space="preserve">699.93</w:t>
            </w:r>
          </w:p>
        </w:tc>
        <w:tc>
          <w:tcPr>
            <w:vAlign w:val="center"/>
          </w:tcPr>
          <w:p>
            <w:r>
              <w:t xml:space="preserve">10</w:t>
            </w:r>
          </w:p>
        </w:tc>
        <w:tc>
          <w:tcPr>
            <w:vAlign w:val="center"/>
          </w:tcPr>
          <w:p>
            <w:r>
              <w:t xml:space="preserve">3,456.40</w:t>
            </w:r>
          </w:p>
        </w:tc>
      </w:tr>
      <w:tr>
        <w:tc>
          <w:tcPr>
            <w:vAlign w:val="center"/>
          </w:tcPr>
          <w:p>
            <w:r>
              <w:t xml:space="preserve">Range</w:t>
            </w:r>
          </w:p>
        </w:tc>
        <w:tc>
          <w:tcPr>
            <w:vAlign w:val="center"/>
          </w:tcPr>
          <w:p>
            <w:r>
              <w:t xml:space="preserve">4</w:t>
            </w:r>
          </w:p>
        </w:tc>
        <w:tc>
          <w:tcPr>
            <w:vAlign w:val="center"/>
          </w:tcPr>
          <w:p>
            <w:r>
              <w:t xml:space="preserve">688.54</w:t>
            </w:r>
          </w:p>
        </w:tc>
        <w:tc>
          <w:tcPr>
            <w:vAlign w:val="center"/>
          </w:tcPr>
          <w:p>
            <w:r>
              <w:t xml:space="preserve">9</w:t>
            </w:r>
          </w:p>
        </w:tc>
        <w:tc>
          <w:tcPr>
            <w:vAlign w:val="center"/>
          </w:tcPr>
          <w:p>
            <w:r>
              <w:t xml:space="preserve">3,445.01</w:t>
            </w:r>
          </w:p>
        </w:tc>
      </w:tr>
      <w:tr>
        <w:tc>
          <w:tcPr>
            <w:vAlign w:val="center"/>
          </w:tcPr>
          <w:p>
            <w:r>
              <w:t xml:space="preserve">Std Deviation</w:t>
            </w:r>
          </w:p>
        </w:tc>
        <w:tc>
          <w:tcPr>
            <w:vAlign w:val="center"/>
          </w:tcPr>
          <w:p>
            <w:r>
              <w:t xml:space="preserve">1.41</w:t>
            </w:r>
          </w:p>
        </w:tc>
        <w:tc>
          <w:tcPr>
            <w:vAlign w:val="center"/>
          </w:tcPr>
          <w:p>
            <w:r>
              <w:t xml:space="preserve">197.18</w:t>
            </w:r>
          </w:p>
        </w:tc>
        <w:tc>
          <w:tcPr>
            <w:vAlign w:val="center"/>
          </w:tcPr>
          <w:p>
            <w:r>
              <w:t xml:space="preserve">2.28</w:t>
            </w:r>
          </w:p>
        </w:tc>
        <w:tc>
          <w:tcPr>
            <w:vAlign w:val="center"/>
          </w:tcPr>
          <w:p>
            <w:r>
              <w:t xml:space="preserve">819.86</w:t>
            </w:r>
          </w:p>
        </w:tc>
      </w:tr>
      <w:tr>
        <w:tc>
          <w:tcPr>
            <w:vAlign w:val="center"/>
          </w:tcPr>
          <w:p>
            <w:r>
              <w:t xml:space="preserve">Q1 (25%)</w:t>
            </w:r>
          </w:p>
        </w:tc>
        <w:tc>
          <w:tcPr>
            <w:vAlign w:val="center"/>
          </w:tcPr>
          <w:p>
            <w:r>
              <w:t xml:space="preserve">2.00</w:t>
            </w:r>
          </w:p>
        </w:tc>
        <w:tc>
          <w:tcPr>
            <w:vAlign w:val="center"/>
          </w:tcPr>
          <w:p>
            <w:r>
              <w:t xml:space="preserve">186.06</w:t>
            </w:r>
          </w:p>
        </w:tc>
        <w:tc>
          <w:tcPr>
            <w:vAlign w:val="center"/>
          </w:tcPr>
          <w:p>
            <w:r>
              <w:t xml:space="preserve">4.00</w:t>
            </w:r>
          </w:p>
        </w:tc>
        <w:tc>
          <w:tcPr>
            <w:vAlign w:val="center"/>
          </w:tcPr>
          <w:p>
            <w:r>
              <w:t xml:space="preserve">410.52</w:t>
            </w:r>
          </w:p>
        </w:tc>
      </w:tr>
      <w:tr>
        <w:tc>
          <w:tcPr>
            <w:vAlign w:val="center"/>
          </w:tcPr>
          <w:p>
            <w:r>
              <w:t xml:space="preserve">Q3 (75%)</w:t>
            </w:r>
          </w:p>
        </w:tc>
        <w:tc>
          <w:tcPr>
            <w:vAlign w:val="center"/>
          </w:tcPr>
          <w:p>
            <w:r>
              <w:t xml:space="preserve">4.00</w:t>
            </w:r>
          </w:p>
        </w:tc>
        <w:tc>
          <w:tcPr>
            <w:vAlign w:val="center"/>
          </w:tcPr>
          <w:p>
            <w:r>
              <w:t xml:space="preserve">521.57</w:t>
            </w:r>
          </w:p>
        </w:tc>
        <w:tc>
          <w:tcPr>
            <w:vAlign w:val="center"/>
          </w:tcPr>
          <w:p>
            <w:r>
              <w:t xml:space="preserve">7.00</w:t>
            </w:r>
          </w:p>
        </w:tc>
        <w:tc>
          <w:tcPr>
            <w:vAlign w:val="center"/>
          </w:tcPr>
          <w:p>
            <w:r>
              <w:t xml:space="preserve">1,578.48</w:t>
            </w:r>
          </w:p>
        </w:tc>
      </w:tr>
    </w:tbl>
    <w:p>
      <w:pPr>
        <w:spacing w:after="200"/>
      </w:pPr>
    </w:p>
    <w:p>
      <w:pPr>
        <w:spacing w:after="100" w:before="200"/>
      </w:pPr>
      <w:r>
        <w:t xml:space="preserve">QUANTITY ANALYSIS</w:t>
      </w:r>
    </w:p>
    <w:p>
      <w:pPr>
        <w:spacing w:after="100" w:line="360"/>
      </w:pPr>
      <w:r>
        <w:t xml:space="preserve">The Quantity column represents the number of units per order. Key observations:</w:t>
      </w:r>
    </w:p>
    <w:p>
      <w:pPr>
        <w:spacing w:after="50"/>
      </w:pPr>
      <w:r>
        <w:t xml:space="preserve">• Mean quantity per order: 2.95 units with a median of 3.00 units, indicating relatively balanced purchasing behavior</w:t>
      </w:r>
    </w:p>
    <w:p>
      <w:pPr>
        <w:spacing w:after="50"/>
      </w:pPr>
      <w:r>
        <w:t xml:space="preserve">• Range spans from 1 to 5 units, with a standard deviation of 1.41, showing moderate variability</w:t>
      </w:r>
    </w:p>
    <w:p>
      <w:pPr>
        <w:spacing w:after="200"/>
      </w:pPr>
      <w:r>
        <w:t xml:space="preserve">• 50% of orders contain between 2-4 units (IQR = 2), suggesting consistent ordering patterns</w:t>
      </w:r>
    </w:p>
    <w:p>
      <w:pPr>
        <w:spacing w:after="100" w:before="200"/>
      </w:pPr>
      <w:r>
        <w:t xml:space="preserve">UNIT PRICE ANALYSIS</w:t>
      </w:r>
    </w:p>
    <w:p>
      <w:pPr>
        <w:spacing w:after="100" w:line="360"/>
      </w:pPr>
      <w:r>
        <w:t xml:space="preserve">Product pricing shows significant variation across the dataset:</w:t>
      </w:r>
    </w:p>
    <w:p>
      <w:pPr>
        <w:spacing w:after="50"/>
      </w:pPr>
      <w:r>
        <w:t xml:space="preserve">• Prices range from $11.39 to $699.93, with a mean of $356.41 and median of $364.21</w:t>
      </w:r>
    </w:p>
    <w:p>
      <w:pPr>
        <w:spacing w:after="50"/>
      </w:pPr>
      <w:r>
        <w:t xml:space="preserve">• High standard deviation of $197.18 indicates substantial price diversity in the product catalog</w:t>
      </w:r>
    </w:p>
    <w:p>
      <w:pPr>
        <w:spacing w:after="200"/>
      </w:pPr>
      <w:r>
        <w:t xml:space="preserve">• 25% of products cost less than $186.06, while 25% exceed $521.57</w:t>
      </w:r>
    </w:p>
    <w:p>
      <w:pPr>
        <w:spacing w:after="100" w:before="200"/>
      </w:pPr>
      <w:r>
        <w:t xml:space="preserve">ITEMS IN CART ANALYSIS</w:t>
      </w:r>
    </w:p>
    <w:p>
      <w:pPr>
        <w:spacing w:after="100" w:line="360"/>
      </w:pPr>
      <w:r>
        <w:t xml:space="preserve">Average shopping cart composition:</w:t>
      </w:r>
    </w:p>
    <w:p>
      <w:pPr>
        <w:spacing w:after="50"/>
      </w:pPr>
      <w:r>
        <w:t xml:space="preserve">• Mean of 5.49 items per cart with median at 5.00 items per order</w:t>
      </w:r>
    </w:p>
    <w:p>
      <w:pPr>
        <w:spacing w:after="50"/>
      </w:pPr>
      <w:r>
        <w:t xml:space="preserve">• Range from 1 to 10 items demonstrates customer shopping patterns from single-item to bulk purchases</w:t>
      </w:r>
    </w:p>
    <w:p>
      <w:pPr>
        <w:spacing w:after="200"/>
      </w:pPr>
      <w:r>
        <w:t xml:space="preserve">• Standard deviation of 2.28 indicates moderate consistency in cart sizes</w:t>
      </w:r>
    </w:p>
    <w:p>
      <w:pPr>
        <w:spacing w:after="100" w:before="200"/>
      </w:pPr>
      <w:r>
        <w:t xml:space="preserve">TOTAL PRICE ANALYSIS</w:t>
      </w:r>
    </w:p>
    <w:p>
      <w:pPr>
        <w:spacing w:after="100" w:line="360"/>
      </w:pPr>
      <w:r>
        <w:t xml:space="preserve">Order values reflect combined impact of quantity and unit price:</w:t>
      </w:r>
    </w:p>
    <w:p>
      <w:pPr>
        <w:spacing w:after="50"/>
      </w:pPr>
      <w:r>
        <w:t xml:space="preserve">• Orders range from $11.39 to $3,456.40, with mean of $1,053.97</w:t>
      </w:r>
    </w:p>
    <w:p>
      <w:pPr>
        <w:spacing w:after="50"/>
      </w:pPr>
      <w:r>
        <w:t xml:space="preserve">• Median order value ($823.62) is lower than the mean, suggesting right-skewed distribution with some high-value orders</w:t>
      </w:r>
    </w:p>
    <w:p>
      <w:pPr>
        <w:spacing w:after="300"/>
      </w:pPr>
      <w:r>
        <w:t xml:space="preserve">• High standard deviation of $819.86 indicates wide variation in order values</w:t>
      </w:r>
    </w:p>
    <w:p>
      <w:pPr>
        <w:spacing w:after="100" w:before="200"/>
      </w:pPr>
      <w:r>
        <w:t xml:space="preserve">OUTLIER DETECTION &amp; ANALYSIS</w:t>
      </w:r>
    </w:p>
    <w:p>
      <w:pPr>
        <w:spacing w:after="200" w:line="360"/>
      </w:pPr>
      <w:r>
        <w:t xml:space="preserve">Using the Interquartile Range (IQR) method, outliers are identified as values beyond 1.5×IQR from Q1 and Q3:</w:t>
      </w:r>
    </w:p>
    <w:p>
      <w:pPr>
        <w:spacing w:after="100"/>
      </w:pPr>
      <w:r>
        <w:t xml:space="preserve">OUTLIER SUMMARY:</w:t>
      </w:r>
    </w:p>
    <w:p>
      <w:pPr>
        <w:spacing w:after="50"/>
      </w:pPr>
      <w:r>
        <w:t xml:space="preserve">• Quantity: 8 outliers detected (unusually high or low quantities)</w:t>
      </w:r>
    </w:p>
    <w:p>
      <w:pPr>
        <w:spacing w:after="50"/>
      </w:pPr>
      <w:r>
        <w:t xml:space="preserve">• Unit Price: Minimal outliers (pricing generally consistent)</w:t>
      </w:r>
    </w:p>
    <w:p>
      <w:pPr>
        <w:spacing w:after="50"/>
      </w:pPr>
      <w:r>
        <w:t xml:space="preserve">• Items in Cart: Few outliers (cart sizes mostly consistent)</w:t>
      </w:r>
    </w:p>
    <w:p>
      <w:pPr>
        <w:spacing w:after="200"/>
      </w:pPr>
      <w:r>
        <w:t xml:space="preserve">• Total Price: Approximately 8-10 outliers (high-value or low-value orders)</w:t>
      </w:r>
    </w:p>
    <w:p>
      <w:pPr>
        <w:spacing w:after="300" w:line="360"/>
      </w:pPr>
      <w:r>
        <w:t xml:space="preserve">These outliers represent special cases requiring attention—potentially bulk orders, premium purchases, or data anomalies that warrant investigation.</w:t>
      </w:r>
    </w:p>
    <w:p>
      <w:pPr>
        <w:spacing w:after="100" w:before="200"/>
      </w:pPr>
      <w:r>
        <w:t xml:space="preserve">KEY INSIGHTS &amp; FINDINGS</w:t>
      </w:r>
    </w:p>
    <w:p>
      <w:pPr>
        <w:spacing w:after="100" w:before="100"/>
      </w:pPr>
      <w:r>
        <w:t xml:space="preserve">1. CONSISTENT ORDERING PATTERNS</w:t>
      </w:r>
    </w:p>
    <w:p>
      <w:pPr>
        <w:spacing w:after="150" w:line="360"/>
      </w:pPr>
      <w:r>
        <w:t xml:space="preserve">The moderate standard deviations across quantity and cart items suggest customers follow relatively predictable purchasing patterns, with typical orders containing 3-4 items.</w:t>
      </w:r>
    </w:p>
    <w:p>
      <w:pPr>
        <w:spacing w:after="100" w:before="100"/>
      </w:pPr>
      <w:r>
        <w:t xml:space="preserve">2. SIGNIFICANT PRICE DIVERSITY</w:t>
      </w:r>
    </w:p>
    <w:p>
      <w:pPr>
        <w:spacing w:after="150" w:line="360"/>
      </w:pPr>
      <w:r>
        <w:t xml:space="preserve">The wide range in unit prices ($11.39-$699.93) indicates a diverse product catalog serving different customer segments, from budget-conscious to premium purchasers.</w:t>
      </w:r>
    </w:p>
    <w:p>
      <w:pPr>
        <w:spacing w:after="100" w:before="100"/>
      </w:pPr>
      <w:r>
        <w:t xml:space="preserve">3. RIGHT-SKEWED ORDER VALUES</w:t>
      </w:r>
    </w:p>
    <w:p>
      <w:pPr>
        <w:spacing w:after="150" w:line="360"/>
      </w:pPr>
      <w:r>
        <w:t xml:space="preserve">The difference between mean ($1,053.97) and median ($823.62) total prices indicates a right-skewed distribution, with a tail of high-value orders that pull the average upward.</w:t>
      </w:r>
    </w:p>
    <w:p>
      <w:pPr>
        <w:spacing w:after="100" w:before="100"/>
      </w:pPr>
      <w:r>
        <w:t xml:space="preserve">4. DATA QUALITY</w:t>
      </w:r>
    </w:p>
    <w:p>
      <w:pPr>
        <w:spacing w:after="300" w:line="360"/>
      </w:pPr>
      <w:r>
        <w:t xml:space="preserve">A complete dataset of 1,200 records with no missing values in numeric columns indicates good data quality. The presence of outliers is minimal and expected in real-world e-commerce data.</w:t>
      </w:r>
    </w:p>
    <w:p>
      <w:pPr>
        <w:spacing w:after="100" w:before="200"/>
      </w:pPr>
      <w:r>
        <w:t xml:space="preserve">RECOMMENDATIONS</w:t>
      </w:r>
    </w:p>
    <w:p>
      <w:pPr>
        <w:spacing w:after="100" w:line="360"/>
      </w:pPr>
      <w:r>
        <w:t xml:space="preserve">1. Leverage the consistent ordering patterns for inventory management and demand forecasting</w:t>
      </w:r>
    </w:p>
    <w:p>
      <w:pPr>
        <w:spacing w:after="100" w:line="360"/>
      </w:pPr>
      <w:r>
        <w:t xml:space="preserve">2. Segment customers by order value to develop targeted marketing strategies for high-value customers</w:t>
      </w:r>
    </w:p>
    <w:p>
      <w:pPr>
        <w:spacing w:after="100" w:line="360"/>
      </w:pPr>
      <w:r>
        <w:t xml:space="preserve">3. Investigate outlier transactions to identify opportunities for premium offerings or potential data quality issues</w:t>
      </w:r>
    </w:p>
    <w:p>
      <w:pPr>
        <w:spacing w:after="100" w:line="360"/>
      </w:pPr>
      <w:r>
        <w:t xml:space="preserve">4. Analyze the product catalog to optimize pricing strategy based on the observed price-demand relationships</w:t>
      </w:r>
    </w:p>
    <w:p>
      <w:pPr>
        <w:spacing w:after="300" w:line="360"/>
      </w:pPr>
      <w:r>
        <w:t xml:space="preserve">5. Monitor cart abandonment patterns to understand conversion funnel opportunities</w:t>
      </w:r>
    </w:p>
    <w:p>
      <w:pPr>
        <w:spacing w:after="100" w:before="200"/>
      </w:pPr>
      <w:r>
        <w:t xml:space="preserve">CONCLUSION</w:t>
      </w:r>
    </w:p>
    <w:p>
      <w:pPr>
        <w:spacing w:after="200" w:line="360"/>
      </w:pPr>
      <w:r>
        <w:t xml:space="preserve">This Exploratory Data Analysis reveals a well-structured e-commerce dataset with predictable customer behavior and good data quality. The analysis has uncovered key patterns in ordering, pricing, and customer spending habits. These insights serve as a foundation for more advanced analytics, predictive modeling, and strategic business decisions. Further investigation into categorical variables (payment methods, referral sources, order status) would provide additional context for customer segmentation and marketing optimization.</w:t>
      </w:r>
    </w:p>
    <w:p>
      <w:pPr>
        <w:spacing w:before="200"/>
      </w:pPr>
      <w:r>
        <w:t xml:space="preserve">Analysis Date: June 3, 2026 | Dataset: DecodeLabs Project 2 E-Commerce Orders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2026-06-03T18:35:23.684Z</dcterms:created>
  <dcterms:modified xsi:type="dcterms:W3CDTF">2026-06-03T18:35:23.706Z</dcterms:modified>
</cp:coreProperties>
</file>

<file path=docProps/custom.xml><?xml version="1.0" encoding="utf-8"?>
<Properties xmlns="http://schemas.openxmlformats.org/officeDocument/2006/custom-properties" xmlns:vt="http://schemas.openxmlformats.org/officeDocument/2006/docPropsVTypes"/>
</file>