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713A78E" w14:textId="77777777" w:rsidTr="004959C4">
        <w:tc>
          <w:tcPr>
            <w:tcW w:w="491" w:type="dxa"/>
            <w:vMerge w:val="restart"/>
            <w:shd w:val="clear" w:color="auto" w:fill="A6A6A6" w:themeFill="background1" w:themeFillShade="A6"/>
            <w:textDirection w:val="btLr"/>
          </w:tcPr>
          <w:p w14:paraId="12C1C80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1AB6FAC089ABA47A608155717E678E5"/>
            </w:placeholder>
            <w:showingPlcHdr/>
            <w:dropDownList>
              <w:listItem w:displayText="Dr." w:value="Dr."/>
              <w:listItem w:displayText="Prof." w:value="Prof."/>
            </w:dropDownList>
          </w:sdtPr>
          <w:sdtContent>
            <w:tc>
              <w:tcPr>
                <w:tcW w:w="1296" w:type="dxa"/>
              </w:tcPr>
              <w:p w14:paraId="2F24A14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F0ACEC52E42CC40B583B9642ACD36ED"/>
            </w:placeholder>
            <w:text/>
          </w:sdtPr>
          <w:sdtContent>
            <w:tc>
              <w:tcPr>
                <w:tcW w:w="2073" w:type="dxa"/>
              </w:tcPr>
              <w:p w14:paraId="2B4C9CC7" w14:textId="77777777" w:rsidR="00B574C9" w:rsidRDefault="004959C4" w:rsidP="004959C4">
                <w:r>
                  <w:t>Ivan</w:t>
                </w:r>
              </w:p>
            </w:tc>
          </w:sdtContent>
        </w:sdt>
        <w:sdt>
          <w:sdtPr>
            <w:alias w:val="Middle name"/>
            <w:tag w:val="authorMiddleName"/>
            <w:id w:val="-2076034781"/>
            <w:placeholder>
              <w:docPart w:val="241A9A5068A70A4FB0BAE64BD30F4330"/>
            </w:placeholder>
            <w:showingPlcHdr/>
            <w:text/>
          </w:sdtPr>
          <w:sdtContent>
            <w:tc>
              <w:tcPr>
                <w:tcW w:w="2551" w:type="dxa"/>
              </w:tcPr>
              <w:p w14:paraId="352752AA" w14:textId="77777777" w:rsidR="00B574C9" w:rsidRDefault="00B574C9" w:rsidP="00922950">
                <w:r>
                  <w:rPr>
                    <w:rStyle w:val="PlaceholderText"/>
                  </w:rPr>
                  <w:t>[Middle name]</w:t>
                </w:r>
              </w:p>
            </w:tc>
          </w:sdtContent>
        </w:sdt>
        <w:sdt>
          <w:sdtPr>
            <w:alias w:val="Last name"/>
            <w:tag w:val="authorLastName"/>
            <w:id w:val="-1088529830"/>
            <w:placeholder>
              <w:docPart w:val="1F06E4567C90CF408805C0E9C792988B"/>
            </w:placeholder>
            <w:text/>
          </w:sdtPr>
          <w:sdtContent>
            <w:tc>
              <w:tcPr>
                <w:tcW w:w="2642" w:type="dxa"/>
              </w:tcPr>
              <w:p w14:paraId="409B0B77" w14:textId="77777777" w:rsidR="00B574C9" w:rsidRDefault="004959C4" w:rsidP="004959C4">
                <w:r>
                  <w:t>Moody</w:t>
                </w:r>
              </w:p>
            </w:tc>
          </w:sdtContent>
        </w:sdt>
      </w:tr>
      <w:tr w:rsidR="00B574C9" w14:paraId="5B74704F" w14:textId="77777777" w:rsidTr="004959C4">
        <w:trPr>
          <w:trHeight w:val="986"/>
        </w:trPr>
        <w:tc>
          <w:tcPr>
            <w:tcW w:w="491" w:type="dxa"/>
            <w:vMerge/>
            <w:shd w:val="clear" w:color="auto" w:fill="A6A6A6" w:themeFill="background1" w:themeFillShade="A6"/>
          </w:tcPr>
          <w:p w14:paraId="680FA576" w14:textId="77777777" w:rsidR="00B574C9" w:rsidRPr="001A6A06" w:rsidRDefault="00B574C9" w:rsidP="00CF1542">
            <w:pPr>
              <w:jc w:val="center"/>
              <w:rPr>
                <w:b/>
                <w:color w:val="FFFFFF" w:themeColor="background1"/>
              </w:rPr>
            </w:pPr>
          </w:p>
        </w:tc>
        <w:sdt>
          <w:sdtPr>
            <w:alias w:val="Biography"/>
            <w:tag w:val="authorBiography"/>
            <w:id w:val="938807824"/>
            <w:placeholder>
              <w:docPart w:val="126B7006832FF241B251C95B4606FD1D"/>
            </w:placeholder>
            <w:showingPlcHdr/>
          </w:sdtPr>
          <w:sdtContent>
            <w:tc>
              <w:tcPr>
                <w:tcW w:w="8562" w:type="dxa"/>
                <w:gridSpan w:val="4"/>
              </w:tcPr>
              <w:p w14:paraId="3B4B8685" w14:textId="77777777" w:rsidR="00B574C9" w:rsidRDefault="00B574C9" w:rsidP="00922950">
                <w:r>
                  <w:rPr>
                    <w:rStyle w:val="PlaceholderText"/>
                  </w:rPr>
                  <w:t>[Enter your biography]</w:t>
                </w:r>
              </w:p>
            </w:tc>
          </w:sdtContent>
        </w:sdt>
      </w:tr>
      <w:tr w:rsidR="00B574C9" w14:paraId="5D7A5A90" w14:textId="77777777" w:rsidTr="004959C4">
        <w:trPr>
          <w:trHeight w:val="986"/>
        </w:trPr>
        <w:tc>
          <w:tcPr>
            <w:tcW w:w="491" w:type="dxa"/>
            <w:vMerge/>
            <w:shd w:val="clear" w:color="auto" w:fill="A6A6A6" w:themeFill="background1" w:themeFillShade="A6"/>
          </w:tcPr>
          <w:p w14:paraId="1D05784B" w14:textId="77777777" w:rsidR="00B574C9" w:rsidRPr="001A6A06" w:rsidRDefault="00B574C9" w:rsidP="00CF1542">
            <w:pPr>
              <w:jc w:val="center"/>
              <w:rPr>
                <w:b/>
                <w:color w:val="FFFFFF" w:themeColor="background1"/>
              </w:rPr>
            </w:pPr>
          </w:p>
        </w:tc>
        <w:sdt>
          <w:sdtPr>
            <w:alias w:val="Affiliation"/>
            <w:tag w:val="affiliation"/>
            <w:id w:val="2012937915"/>
            <w:placeholder>
              <w:docPart w:val="997E0ABF0D9C7949AB44A7F3B9869A3E"/>
            </w:placeholder>
            <w:text/>
          </w:sdtPr>
          <w:sdtContent>
            <w:tc>
              <w:tcPr>
                <w:tcW w:w="8562" w:type="dxa"/>
                <w:gridSpan w:val="4"/>
              </w:tcPr>
              <w:p w14:paraId="75E496CE" w14:textId="77777777" w:rsidR="00B574C9" w:rsidRDefault="004959C4" w:rsidP="00B574C9">
                <w:r>
                  <w:rPr>
                    <w:rFonts w:ascii="Calibri" w:eastAsia="Times New Roman" w:hAnsi="Calibri" w:cs="Times New Roman"/>
                    <w:color w:val="000000"/>
                    <w:lang w:val="en-CA"/>
                  </w:rPr>
                  <w:t xml:space="preserve">ESEM: </w:t>
                </w:r>
                <w:proofErr w:type="spellStart"/>
                <w:r>
                  <w:rPr>
                    <w:rFonts w:ascii="Calibri" w:eastAsia="Times New Roman" w:hAnsi="Calibri" w:cs="Times New Roman"/>
                    <w:color w:val="000000"/>
                    <w:lang w:val="en-CA"/>
                  </w:rPr>
                  <w:t>Universidade</w:t>
                </w:r>
                <w:proofErr w:type="spellEnd"/>
                <w:r>
                  <w:rPr>
                    <w:rFonts w:ascii="Calibri" w:eastAsia="Times New Roman" w:hAnsi="Calibri" w:cs="Times New Roman"/>
                    <w:color w:val="000000"/>
                    <w:lang w:val="en-CA"/>
                  </w:rPr>
                  <w:t xml:space="preserve"> Nova, Lisbon | </w:t>
                </w:r>
                <w:r w:rsidRPr="004959C4">
                  <w:rPr>
                    <w:rFonts w:ascii="Calibri" w:eastAsia="Times New Roman" w:hAnsi="Calibri" w:cs="Times New Roman"/>
                    <w:color w:val="000000"/>
                    <w:lang w:val="en-CA"/>
                  </w:rPr>
                  <w:t>University of Eastern Finland</w:t>
                </w:r>
              </w:p>
            </w:tc>
          </w:sdtContent>
        </w:sdt>
      </w:tr>
    </w:tbl>
    <w:p w14:paraId="39F13EB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93559E2" w14:textId="77777777" w:rsidTr="00244BB0">
        <w:tc>
          <w:tcPr>
            <w:tcW w:w="9016" w:type="dxa"/>
            <w:shd w:val="clear" w:color="auto" w:fill="A6A6A6" w:themeFill="background1" w:themeFillShade="A6"/>
            <w:tcMar>
              <w:top w:w="113" w:type="dxa"/>
              <w:bottom w:w="113" w:type="dxa"/>
            </w:tcMar>
          </w:tcPr>
          <w:p w14:paraId="7700151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2D95DF5" w14:textId="77777777" w:rsidTr="003F0D73">
        <w:sdt>
          <w:sdtPr>
            <w:alias w:val="Article headword"/>
            <w:tag w:val="articleHeadword"/>
            <w:id w:val="-361440020"/>
            <w:placeholder>
              <w:docPart w:val="EA6499EF5A509449B13B8A7EE3752320"/>
            </w:placeholder>
            <w:text/>
          </w:sdtPr>
          <w:sdtContent>
            <w:tc>
              <w:tcPr>
                <w:tcW w:w="9016" w:type="dxa"/>
                <w:tcMar>
                  <w:top w:w="113" w:type="dxa"/>
                  <w:bottom w:w="113" w:type="dxa"/>
                </w:tcMar>
              </w:tcPr>
              <w:p w14:paraId="6EC6272A" w14:textId="77777777" w:rsidR="003F0D73" w:rsidRPr="004959C4" w:rsidRDefault="004959C4" w:rsidP="004959C4">
                <w:proofErr w:type="spellStart"/>
                <w:r w:rsidRPr="004959C4">
                  <w:t>Gubaidulina</w:t>
                </w:r>
                <w:proofErr w:type="spellEnd"/>
                <w:r w:rsidRPr="004959C4">
                  <w:t xml:space="preserve">, Sofia </w:t>
                </w:r>
                <w:proofErr w:type="spellStart"/>
                <w:r w:rsidRPr="004959C4">
                  <w:t>Asgatovna</w:t>
                </w:r>
                <w:proofErr w:type="spellEnd"/>
                <w:r w:rsidRPr="004959C4">
                  <w:t xml:space="preserve"> (1931--)</w:t>
                </w:r>
              </w:p>
            </w:tc>
          </w:sdtContent>
        </w:sdt>
      </w:tr>
      <w:tr w:rsidR="00464699" w14:paraId="33206B47" w14:textId="77777777" w:rsidTr="00954871">
        <w:sdt>
          <w:sdtPr>
            <w:alias w:val="Variant headwords"/>
            <w:tag w:val="variantHeadwords"/>
            <w:id w:val="173464402"/>
            <w:placeholder>
              <w:docPart w:val="63DF644C8DD5AC4FACC0367720065F2A"/>
            </w:placeholder>
            <w:showingPlcHdr/>
          </w:sdtPr>
          <w:sdtContent>
            <w:tc>
              <w:tcPr>
                <w:tcW w:w="9016" w:type="dxa"/>
                <w:tcMar>
                  <w:top w:w="113" w:type="dxa"/>
                  <w:bottom w:w="113" w:type="dxa"/>
                </w:tcMar>
              </w:tcPr>
              <w:p w14:paraId="27F668D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F1C0743" w14:textId="77777777" w:rsidTr="003F0D73">
        <w:sdt>
          <w:sdtPr>
            <w:alias w:val="Abstract"/>
            <w:tag w:val="abstract"/>
            <w:id w:val="-635871867"/>
            <w:placeholder>
              <w:docPart w:val="89F6A0E706CD8E48B0712A7A9847D8E8"/>
            </w:placeholder>
          </w:sdtPr>
          <w:sdtContent>
            <w:tc>
              <w:tcPr>
                <w:tcW w:w="9016" w:type="dxa"/>
                <w:tcMar>
                  <w:top w:w="113" w:type="dxa"/>
                  <w:bottom w:w="113" w:type="dxa"/>
                </w:tcMar>
              </w:tcPr>
              <w:p w14:paraId="7DC04999" w14:textId="77777777" w:rsidR="008E766C" w:rsidRPr="000E4B8E" w:rsidRDefault="008E766C" w:rsidP="008E766C">
                <w:r w:rsidRPr="000E4B8E">
                  <w:t xml:space="preserve">Sofia </w:t>
                </w:r>
                <w:proofErr w:type="spellStart"/>
                <w:r w:rsidRPr="000E4B8E">
                  <w:t>Gubaidulina</w:t>
                </w:r>
                <w:proofErr w:type="spellEnd"/>
                <w:r w:rsidRPr="000E4B8E">
                  <w:t xml:space="preserve"> was born in </w:t>
                </w:r>
                <w:proofErr w:type="spellStart"/>
                <w:r w:rsidRPr="000E4B8E">
                  <w:t>Chistopol</w:t>
                </w:r>
                <w:proofErr w:type="spellEnd"/>
                <w:r w:rsidRPr="000E4B8E">
                  <w:t xml:space="preserve"> in the Tatar Autonomous </w:t>
                </w:r>
                <w:proofErr w:type="spellStart"/>
                <w:r w:rsidRPr="000E4B8E">
                  <w:t>Societ</w:t>
                </w:r>
                <w:proofErr w:type="spellEnd"/>
                <w:r w:rsidRPr="000E4B8E">
                  <w:t xml:space="preserve"> Socialist Republic, of mixed Russian and Tatar parentage.  After graduating from Kazan Conservatoire in 1954, she studied in Moscow with </w:t>
                </w:r>
                <w:proofErr w:type="spellStart"/>
                <w:r w:rsidRPr="000E4B8E">
                  <w:t>Nikolay</w:t>
                </w:r>
                <w:proofErr w:type="spellEnd"/>
                <w:r w:rsidRPr="000E4B8E">
                  <w:t xml:space="preserve"> </w:t>
                </w:r>
                <w:proofErr w:type="spellStart"/>
                <w:r w:rsidRPr="000E4B8E">
                  <w:t>Peyko</w:t>
                </w:r>
                <w:proofErr w:type="spellEnd"/>
                <w:r w:rsidRPr="000E4B8E">
                  <w:t xml:space="preserve"> and </w:t>
                </w:r>
                <w:proofErr w:type="spellStart"/>
                <w:r w:rsidRPr="000E4B8E">
                  <w:t>Vissarion</w:t>
                </w:r>
                <w:proofErr w:type="spellEnd"/>
                <w:r w:rsidRPr="000E4B8E">
                  <w:t xml:space="preserve"> </w:t>
                </w:r>
                <w:proofErr w:type="spellStart"/>
                <w:r w:rsidRPr="000E4B8E">
                  <w:t>Shebalin</w:t>
                </w:r>
                <w:proofErr w:type="spellEnd"/>
                <w:r w:rsidRPr="000E4B8E">
                  <w:t>, winning a Stalin Fellowship.  Her unconventional approach to composition, including investigating microtonal tunings, led to her music being viewed with disapprobation by the authorities.  She was, however, given encouragement by Shostakovich, and was able to continue experimenting in her film music.</w:t>
                </w:r>
              </w:p>
              <w:p w14:paraId="54D4655F" w14:textId="77777777" w:rsidR="008E766C" w:rsidRPr="000E4B8E" w:rsidRDefault="008E766C" w:rsidP="008E766C"/>
              <w:p w14:paraId="7341D1D7" w14:textId="77777777" w:rsidR="00E85A05" w:rsidRDefault="008E766C" w:rsidP="00E85A05">
                <w:r w:rsidRPr="000E4B8E">
                  <w:t xml:space="preserve">In 1975 she founded the </w:t>
                </w:r>
                <w:proofErr w:type="spellStart"/>
                <w:r w:rsidRPr="000E4B8E">
                  <w:t>Astreia</w:t>
                </w:r>
                <w:proofErr w:type="spellEnd"/>
                <w:r w:rsidRPr="000E4B8E">
                  <w:t xml:space="preserve">, an improvisational group using Russian, Caucasian and Asian folk and ritual instruments, with composers </w:t>
                </w:r>
                <w:proofErr w:type="spellStart"/>
                <w:r w:rsidRPr="000E4B8E">
                  <w:t>Vyacheslav</w:t>
                </w:r>
                <w:proofErr w:type="spellEnd"/>
                <w:r w:rsidRPr="000E4B8E">
                  <w:t xml:space="preserve"> </w:t>
                </w:r>
                <w:proofErr w:type="spellStart"/>
                <w:r w:rsidRPr="000E4B8E">
                  <w:t>Artyomov</w:t>
                </w:r>
                <w:proofErr w:type="spellEnd"/>
                <w:r w:rsidRPr="000E4B8E">
                  <w:t xml:space="preserve"> and Viktor </w:t>
                </w:r>
                <w:proofErr w:type="spellStart"/>
                <w:r w:rsidRPr="000E4B8E">
                  <w:t>Suslin</w:t>
                </w:r>
                <w:proofErr w:type="spellEnd"/>
                <w:r w:rsidRPr="000E4B8E">
                  <w:t xml:space="preserve"> and, like </w:t>
                </w:r>
                <w:proofErr w:type="spellStart"/>
                <w:r w:rsidRPr="000E4B8E">
                  <w:t>Schnittke</w:t>
                </w:r>
                <w:proofErr w:type="spellEnd"/>
                <w:r w:rsidRPr="000E4B8E">
                  <w:t xml:space="preserve"> and </w:t>
                </w:r>
                <w:proofErr w:type="spellStart"/>
                <w:r w:rsidRPr="000E4B8E">
                  <w:t>Denisov</w:t>
                </w:r>
                <w:proofErr w:type="spellEnd"/>
                <w:r w:rsidRPr="000E4B8E">
                  <w:t xml:space="preserve">, absorbed in a highly personal way new compositional techniques being developed in the West, something that contributed to her being blacklisted as one of </w:t>
                </w:r>
                <w:r>
                  <w:t>‘</w:t>
                </w:r>
                <w:proofErr w:type="spellStart"/>
                <w:r w:rsidRPr="000E4B8E">
                  <w:t>Khrennikov’s</w:t>
                </w:r>
                <w:proofErr w:type="spellEnd"/>
                <w:r w:rsidRPr="000E4B8E">
                  <w:t xml:space="preserve"> seven</w:t>
                </w:r>
                <w:r>
                  <w:t>’</w:t>
                </w:r>
                <w:r w:rsidRPr="000E4B8E">
                  <w:t xml:space="preserve"> at the Sixth Congress of the Union of Soviet Composers in 1979.   She was nevertheless championed in Russia by a number of performers, including </w:t>
                </w:r>
                <w:proofErr w:type="spellStart"/>
                <w:r w:rsidRPr="000E4B8E">
                  <w:t>Gidon</w:t>
                </w:r>
                <w:proofErr w:type="spellEnd"/>
                <w:r w:rsidRPr="000E4B8E">
                  <w:t xml:space="preserve"> Kremer, Friedrich Lips, Mark </w:t>
                </w:r>
                <w:proofErr w:type="spellStart"/>
                <w:r w:rsidRPr="000E4B8E">
                  <w:t>Pekarsky</w:t>
                </w:r>
                <w:proofErr w:type="spellEnd"/>
                <w:r w:rsidRPr="000E4B8E">
                  <w:t xml:space="preserve">, Valery Popov and Vladimir </w:t>
                </w:r>
                <w:proofErr w:type="spellStart"/>
                <w:r w:rsidRPr="000E4B8E">
                  <w:t>Tonkha</w:t>
                </w:r>
                <w:proofErr w:type="spellEnd"/>
                <w:r w:rsidRPr="000E4B8E">
                  <w:t xml:space="preserve">.  Kremer’s performances of the violin concerto </w:t>
                </w:r>
                <w:proofErr w:type="spellStart"/>
                <w:r w:rsidRPr="000E4B8E">
                  <w:rPr>
                    <w:i/>
                  </w:rPr>
                  <w:t>Offertorium</w:t>
                </w:r>
                <w:proofErr w:type="spellEnd"/>
                <w:r w:rsidRPr="000E4B8E">
                  <w:t xml:space="preserve"> were one of the contributing factors to </w:t>
                </w:r>
                <w:proofErr w:type="spellStart"/>
                <w:r w:rsidRPr="000E4B8E">
                  <w:t>Gubaidulina’s</w:t>
                </w:r>
                <w:proofErr w:type="spellEnd"/>
                <w:r w:rsidRPr="000E4B8E">
                  <w:t xml:space="preserve"> increasing success outside the USSR in the 1980s.  She was allowed to travel to the West in the first time in 1985, and has been resident near Hamburg since 1992.</w:t>
                </w:r>
              </w:p>
            </w:tc>
          </w:sdtContent>
        </w:sdt>
      </w:tr>
      <w:tr w:rsidR="003F0D73" w14:paraId="6BBA2F5D" w14:textId="77777777" w:rsidTr="003F0D73">
        <w:sdt>
          <w:sdtPr>
            <w:alias w:val="Article text"/>
            <w:tag w:val="articleText"/>
            <w:id w:val="634067588"/>
            <w:placeholder>
              <w:docPart w:val="96B6D2904178E545AC3BFDA9B2F95EC4"/>
            </w:placeholder>
          </w:sdtPr>
          <w:sdtContent>
            <w:tc>
              <w:tcPr>
                <w:tcW w:w="9016" w:type="dxa"/>
                <w:tcMar>
                  <w:top w:w="113" w:type="dxa"/>
                  <w:bottom w:w="113" w:type="dxa"/>
                </w:tcMar>
              </w:tcPr>
              <w:p w14:paraId="314F6D62" w14:textId="77777777" w:rsidR="004959C4" w:rsidRPr="008E766C" w:rsidRDefault="004959C4" w:rsidP="008E766C">
                <w:pPr>
                  <w:spacing w:after="220"/>
                  <w:rPr>
                    <w:rFonts w:asciiTheme="majorHAnsi" w:eastAsiaTheme="majorEastAsia" w:hAnsiTheme="majorHAnsi" w:cstheme="majorBidi"/>
                    <w:b/>
                    <w:color w:val="595959" w:themeColor="text1" w:themeTint="A6"/>
                    <w:szCs w:val="32"/>
                  </w:rPr>
                </w:pPr>
                <w:r w:rsidRPr="008E766C">
                  <w:rPr>
                    <w:rStyle w:val="Heading1Char"/>
                  </w:rPr>
                  <w:t>Biography</w:t>
                </w:r>
              </w:p>
              <w:p w14:paraId="4F240C7C" w14:textId="77777777" w:rsidR="004959C4" w:rsidRPr="000E4B8E" w:rsidRDefault="004959C4" w:rsidP="004959C4">
                <w:r w:rsidRPr="000E4B8E">
                  <w:t xml:space="preserve">Sofia </w:t>
                </w:r>
                <w:proofErr w:type="spellStart"/>
                <w:r w:rsidRPr="000E4B8E">
                  <w:t>Gubaidulina</w:t>
                </w:r>
                <w:proofErr w:type="spellEnd"/>
                <w:r w:rsidRPr="000E4B8E">
                  <w:t xml:space="preserve"> was born in </w:t>
                </w:r>
                <w:proofErr w:type="spellStart"/>
                <w:r w:rsidRPr="000E4B8E">
                  <w:t>Chistopol</w:t>
                </w:r>
                <w:proofErr w:type="spellEnd"/>
                <w:r w:rsidRPr="000E4B8E">
                  <w:t xml:space="preserve"> in the Tatar Autonomous </w:t>
                </w:r>
                <w:proofErr w:type="spellStart"/>
                <w:r w:rsidRPr="000E4B8E">
                  <w:t>Societ</w:t>
                </w:r>
                <w:proofErr w:type="spellEnd"/>
                <w:r w:rsidRPr="000E4B8E">
                  <w:t xml:space="preserve"> Socialist Republic, of mixed Russian and Tatar parentage.  After graduating from Kazan Conservatoire in 1954, she studied in Moscow with </w:t>
                </w:r>
                <w:proofErr w:type="spellStart"/>
                <w:r w:rsidRPr="000E4B8E">
                  <w:t>Nikolay</w:t>
                </w:r>
                <w:proofErr w:type="spellEnd"/>
                <w:r w:rsidRPr="000E4B8E">
                  <w:t xml:space="preserve"> </w:t>
                </w:r>
                <w:proofErr w:type="spellStart"/>
                <w:r w:rsidRPr="000E4B8E">
                  <w:t>Peyko</w:t>
                </w:r>
                <w:proofErr w:type="spellEnd"/>
                <w:r w:rsidRPr="000E4B8E">
                  <w:t xml:space="preserve"> and </w:t>
                </w:r>
                <w:proofErr w:type="spellStart"/>
                <w:r w:rsidRPr="000E4B8E">
                  <w:t>Vissarion</w:t>
                </w:r>
                <w:proofErr w:type="spellEnd"/>
                <w:r w:rsidRPr="000E4B8E">
                  <w:t xml:space="preserve"> </w:t>
                </w:r>
                <w:proofErr w:type="spellStart"/>
                <w:r w:rsidRPr="000E4B8E">
                  <w:t>Shebalin</w:t>
                </w:r>
                <w:proofErr w:type="spellEnd"/>
                <w:r w:rsidRPr="000E4B8E">
                  <w:t>, winning a Stalin Fellowship.  Her unconventional approach to composition, including investigating microtonal tunings, led to her music being viewed with disapprobation by the authorities.  She was, however, given encouragement by Shostakovich, and was able to continue experimenting in her film music.</w:t>
                </w:r>
              </w:p>
              <w:p w14:paraId="34FFE09E" w14:textId="77777777" w:rsidR="004959C4" w:rsidRPr="000E4B8E" w:rsidRDefault="004959C4" w:rsidP="004959C4"/>
              <w:p w14:paraId="5758D2A2" w14:textId="77777777" w:rsidR="004959C4" w:rsidRPr="000E4B8E" w:rsidRDefault="004959C4" w:rsidP="004959C4">
                <w:r w:rsidRPr="000E4B8E">
                  <w:t xml:space="preserve">In 1975 she founded the </w:t>
                </w:r>
                <w:proofErr w:type="spellStart"/>
                <w:r w:rsidRPr="000E4B8E">
                  <w:t>Astreia</w:t>
                </w:r>
                <w:proofErr w:type="spellEnd"/>
                <w:r w:rsidRPr="000E4B8E">
                  <w:t xml:space="preserve">, an improvisational group using Russian, Caucasian and Asian folk and ritual instruments, with composers </w:t>
                </w:r>
                <w:proofErr w:type="spellStart"/>
                <w:r w:rsidRPr="000E4B8E">
                  <w:t>Vyacheslav</w:t>
                </w:r>
                <w:proofErr w:type="spellEnd"/>
                <w:r w:rsidRPr="000E4B8E">
                  <w:t xml:space="preserve"> </w:t>
                </w:r>
                <w:proofErr w:type="spellStart"/>
                <w:r w:rsidRPr="000E4B8E">
                  <w:t>Artyomov</w:t>
                </w:r>
                <w:proofErr w:type="spellEnd"/>
                <w:r w:rsidRPr="000E4B8E">
                  <w:t xml:space="preserve"> and Viktor </w:t>
                </w:r>
                <w:proofErr w:type="spellStart"/>
                <w:r w:rsidRPr="000E4B8E">
                  <w:t>Suslin</w:t>
                </w:r>
                <w:proofErr w:type="spellEnd"/>
                <w:r w:rsidRPr="000E4B8E">
                  <w:t xml:space="preserve"> and, like </w:t>
                </w:r>
                <w:proofErr w:type="spellStart"/>
                <w:r w:rsidRPr="000E4B8E">
                  <w:t>Schnittke</w:t>
                </w:r>
                <w:proofErr w:type="spellEnd"/>
                <w:r w:rsidRPr="000E4B8E">
                  <w:t xml:space="preserve"> and </w:t>
                </w:r>
                <w:proofErr w:type="spellStart"/>
                <w:r w:rsidRPr="000E4B8E">
                  <w:t>Denisov</w:t>
                </w:r>
                <w:proofErr w:type="spellEnd"/>
                <w:r w:rsidRPr="000E4B8E">
                  <w:t xml:space="preserve">, absorbed in a highly personal way new compositional techniques being developed in the West, something that contributed to her being blacklisted as one of </w:t>
                </w:r>
                <w:r>
                  <w:t>‘</w:t>
                </w:r>
                <w:proofErr w:type="spellStart"/>
                <w:r w:rsidRPr="000E4B8E">
                  <w:t>Khrennikov’s</w:t>
                </w:r>
                <w:proofErr w:type="spellEnd"/>
                <w:r w:rsidRPr="000E4B8E">
                  <w:t xml:space="preserve"> seven</w:t>
                </w:r>
                <w:r>
                  <w:t>’</w:t>
                </w:r>
                <w:r w:rsidRPr="000E4B8E">
                  <w:t xml:space="preserve"> at the Sixth Congress of the Union of Soviet Composers in 1979.   She was nevertheless championed in Russia by a number of performers, including </w:t>
                </w:r>
                <w:proofErr w:type="spellStart"/>
                <w:r w:rsidRPr="000E4B8E">
                  <w:t>Gidon</w:t>
                </w:r>
                <w:proofErr w:type="spellEnd"/>
                <w:r w:rsidRPr="000E4B8E">
                  <w:t xml:space="preserve"> Kremer, Friedrich Lips, Mark </w:t>
                </w:r>
                <w:proofErr w:type="spellStart"/>
                <w:r w:rsidRPr="000E4B8E">
                  <w:t>Pekarsky</w:t>
                </w:r>
                <w:proofErr w:type="spellEnd"/>
                <w:r w:rsidRPr="000E4B8E">
                  <w:t xml:space="preserve">, Valery Popov and Vladimir </w:t>
                </w:r>
                <w:proofErr w:type="spellStart"/>
                <w:r w:rsidRPr="000E4B8E">
                  <w:t>Tonkha</w:t>
                </w:r>
                <w:proofErr w:type="spellEnd"/>
                <w:r w:rsidRPr="000E4B8E">
                  <w:t xml:space="preserve">.  Kremer’s performances of the violin concerto </w:t>
                </w:r>
                <w:proofErr w:type="spellStart"/>
                <w:r w:rsidRPr="000E4B8E">
                  <w:rPr>
                    <w:i/>
                  </w:rPr>
                  <w:t>Offertorium</w:t>
                </w:r>
                <w:proofErr w:type="spellEnd"/>
                <w:r w:rsidRPr="000E4B8E">
                  <w:t xml:space="preserve"> were one of the contributing factors to </w:t>
                </w:r>
                <w:proofErr w:type="spellStart"/>
                <w:r w:rsidRPr="000E4B8E">
                  <w:t>Gubaidulina’s</w:t>
                </w:r>
                <w:proofErr w:type="spellEnd"/>
                <w:r w:rsidRPr="000E4B8E">
                  <w:t xml:space="preserve"> increasing success outside the USSR in the </w:t>
                </w:r>
                <w:r w:rsidRPr="000E4B8E">
                  <w:lastRenderedPageBreak/>
                  <w:t>1980s.  She was allowed to travel to the West in the first time in 1985, and has been resident near Hamburg since 1992.</w:t>
                </w:r>
              </w:p>
              <w:p w14:paraId="05956467" w14:textId="77777777" w:rsidR="004959C4" w:rsidRPr="000E4B8E" w:rsidRDefault="004959C4" w:rsidP="004959C4"/>
              <w:p w14:paraId="4F3964D6" w14:textId="77777777" w:rsidR="004959C4" w:rsidRPr="000E4B8E" w:rsidRDefault="004959C4" w:rsidP="004959C4">
                <w:pPr>
                  <w:rPr>
                    <w:i/>
                  </w:rPr>
                </w:pPr>
                <w:r w:rsidRPr="000E4B8E">
                  <w:t xml:space="preserve">International commissions began to arrive after the success of </w:t>
                </w:r>
                <w:proofErr w:type="spellStart"/>
                <w:r w:rsidRPr="000E4B8E">
                  <w:rPr>
                    <w:i/>
                  </w:rPr>
                  <w:t>Offertorium</w:t>
                </w:r>
                <w:proofErr w:type="spellEnd"/>
                <w:r w:rsidRPr="000E4B8E">
                  <w:t xml:space="preserve">, and significant works from this period include </w:t>
                </w:r>
                <w:proofErr w:type="spellStart"/>
                <w:r w:rsidRPr="000E4B8E">
                  <w:rPr>
                    <w:i/>
                  </w:rPr>
                  <w:t>Stimmen</w:t>
                </w:r>
                <w:proofErr w:type="spellEnd"/>
                <w:r w:rsidRPr="000E4B8E">
                  <w:rPr>
                    <w:i/>
                  </w:rPr>
                  <w:t xml:space="preserve">… </w:t>
                </w:r>
                <w:proofErr w:type="spellStart"/>
                <w:proofErr w:type="gramStart"/>
                <w:r w:rsidRPr="000E4B8E">
                  <w:rPr>
                    <w:i/>
                  </w:rPr>
                  <w:t>Verstummen</w:t>
                </w:r>
                <w:proofErr w:type="spellEnd"/>
                <w:r w:rsidRPr="000E4B8E">
                  <w:rPr>
                    <w:i/>
                  </w:rPr>
                  <w:t>…</w:t>
                </w:r>
                <w:r w:rsidRPr="000E4B8E">
                  <w:t>,</w:t>
                </w:r>
                <w:proofErr w:type="gramEnd"/>
                <w:r w:rsidRPr="000E4B8E">
                  <w:t xml:space="preserve"> a symphony in twelve movements (1986), </w:t>
                </w:r>
                <w:r w:rsidRPr="000E4B8E">
                  <w:rPr>
                    <w:i/>
                  </w:rPr>
                  <w:t>And: The Feast is in Full Procession</w:t>
                </w:r>
                <w:r w:rsidRPr="000E4B8E">
                  <w:t xml:space="preserve"> for ‘cello and orchestra (1993), the Concerto for viola and orchestra (1996) and </w:t>
                </w:r>
                <w:r w:rsidRPr="000E4B8E">
                  <w:rPr>
                    <w:i/>
                  </w:rPr>
                  <w:t>The Canticle of the Sun</w:t>
                </w:r>
                <w:r w:rsidRPr="000E4B8E">
                  <w:t xml:space="preserve"> for cello, chamber choir and percussion (1997).  Her largest work to date is the diptych </w:t>
                </w:r>
                <w:r w:rsidRPr="000E4B8E">
                  <w:rPr>
                    <w:i/>
                  </w:rPr>
                  <w:t>St John Passion</w:t>
                </w:r>
                <w:r w:rsidRPr="000E4B8E">
                  <w:t xml:space="preserve"> (2000) and </w:t>
                </w:r>
                <w:r w:rsidRPr="000E4B8E">
                  <w:rPr>
                    <w:i/>
                  </w:rPr>
                  <w:t>St John Easter</w:t>
                </w:r>
                <w:r w:rsidRPr="000E4B8E">
                  <w:t xml:space="preserve"> (2002), commissioned by the International </w:t>
                </w:r>
                <w:proofErr w:type="spellStart"/>
                <w:r w:rsidRPr="000E4B8E">
                  <w:t>Bachakademie</w:t>
                </w:r>
                <w:proofErr w:type="spellEnd"/>
                <w:r w:rsidRPr="000E4B8E">
                  <w:t xml:space="preserve"> Stuttgart for the </w:t>
                </w:r>
                <w:r>
                  <w:t>‘</w:t>
                </w:r>
                <w:r w:rsidRPr="000E4B8E">
                  <w:t>Passion 2000</w:t>
                </w:r>
                <w:r>
                  <w:t>’</w:t>
                </w:r>
                <w:r w:rsidRPr="000E4B8E">
                  <w:t xml:space="preserve"> project, and the </w:t>
                </w:r>
                <w:proofErr w:type="spellStart"/>
                <w:r w:rsidRPr="000E4B8E">
                  <w:t>Norddeutschen</w:t>
                </w:r>
                <w:proofErr w:type="spellEnd"/>
                <w:r w:rsidRPr="000E4B8E">
                  <w:t xml:space="preserve"> </w:t>
                </w:r>
                <w:proofErr w:type="spellStart"/>
                <w:r w:rsidRPr="000E4B8E">
                  <w:t>Rundfunk</w:t>
                </w:r>
                <w:proofErr w:type="spellEnd"/>
                <w:r w:rsidRPr="000E4B8E">
                  <w:t xml:space="preserve">, Hamburg respectively.  </w:t>
                </w:r>
              </w:p>
              <w:p w14:paraId="67DE4007" w14:textId="77777777" w:rsidR="004959C4" w:rsidRPr="000E4B8E" w:rsidRDefault="004959C4" w:rsidP="004959C4"/>
              <w:p w14:paraId="544B4806" w14:textId="77777777" w:rsidR="004959C4" w:rsidRPr="000E4B8E" w:rsidRDefault="004959C4" w:rsidP="004959C4">
                <w:r w:rsidRPr="000E4B8E">
                  <w:t xml:space="preserve">Other significant works written since then include </w:t>
                </w:r>
                <w:r w:rsidRPr="000E4B8E">
                  <w:rPr>
                    <w:i/>
                  </w:rPr>
                  <w:t>The Lyre of Orpheus</w:t>
                </w:r>
                <w:r w:rsidRPr="000E4B8E">
                  <w:t xml:space="preserve"> for violin, percussion, and strings (2006), a second violin concerto, </w:t>
                </w:r>
                <w:r w:rsidRPr="000E4B8E">
                  <w:rPr>
                    <w:i/>
                  </w:rPr>
                  <w:t xml:space="preserve">In tempus </w:t>
                </w:r>
                <w:proofErr w:type="spellStart"/>
                <w:r w:rsidRPr="000E4B8E">
                  <w:rPr>
                    <w:i/>
                  </w:rPr>
                  <w:t>praesens</w:t>
                </w:r>
                <w:proofErr w:type="spellEnd"/>
                <w:r w:rsidRPr="000E4B8E">
                  <w:t xml:space="preserve"> (2007), written for Anne-Sophie Mutter, the percussion concerto </w:t>
                </w:r>
                <w:r w:rsidRPr="000E4B8E">
                  <w:rPr>
                    <w:i/>
                  </w:rPr>
                  <w:t>Glorious Percussion</w:t>
                </w:r>
                <w:r w:rsidRPr="000E4B8E">
                  <w:t xml:space="preserve"> (2008), and </w:t>
                </w:r>
                <w:proofErr w:type="spellStart"/>
                <w:r w:rsidRPr="000E4B8E">
                  <w:rPr>
                    <w:i/>
                  </w:rPr>
                  <w:t>Fachwerk</w:t>
                </w:r>
                <w:proofErr w:type="spellEnd"/>
                <w:r w:rsidRPr="000E4B8E">
                  <w:t xml:space="preserve">, a concerto for </w:t>
                </w:r>
                <w:proofErr w:type="spellStart"/>
                <w:r w:rsidRPr="000E4B8E">
                  <w:rPr>
                    <w:i/>
                  </w:rPr>
                  <w:t>bayan</w:t>
                </w:r>
                <w:proofErr w:type="spellEnd"/>
                <w:r w:rsidRPr="000E4B8E">
                  <w:t>, percussion and strings (2009)</w:t>
                </w:r>
              </w:p>
              <w:p w14:paraId="6716F534" w14:textId="77777777" w:rsidR="004959C4" w:rsidRPr="000E4B8E" w:rsidRDefault="004959C4" w:rsidP="004959C4">
                <w:pPr>
                  <w:rPr>
                    <w:rFonts w:ascii="Times" w:eastAsia="Times New Roman" w:hAnsi="Times"/>
                    <w:sz w:val="20"/>
                    <w:szCs w:val="20"/>
                  </w:rPr>
                </w:pPr>
              </w:p>
              <w:p w14:paraId="76C9C2B9" w14:textId="77777777" w:rsidR="004959C4" w:rsidRPr="000E4B8E" w:rsidRDefault="004959C4" w:rsidP="004959C4">
                <w:r w:rsidRPr="000E4B8E">
                  <w:t xml:space="preserve">She is a member of the </w:t>
                </w:r>
                <w:proofErr w:type="spellStart"/>
                <w:r w:rsidRPr="000E4B8E">
                  <w:t>Akademie</w:t>
                </w:r>
                <w:proofErr w:type="spellEnd"/>
                <w:r w:rsidRPr="000E4B8E">
                  <w:t xml:space="preserve"> der </w:t>
                </w:r>
                <w:proofErr w:type="spellStart"/>
                <w:r w:rsidRPr="000E4B8E">
                  <w:t>Künste</w:t>
                </w:r>
                <w:proofErr w:type="spellEnd"/>
                <w:r w:rsidRPr="000E4B8E">
                  <w:t xml:space="preserve"> in Berlin, the </w:t>
                </w:r>
                <w:proofErr w:type="spellStart"/>
                <w:r w:rsidRPr="000E4B8E">
                  <w:t>Freie</w:t>
                </w:r>
                <w:proofErr w:type="spellEnd"/>
                <w:r w:rsidRPr="000E4B8E">
                  <w:t xml:space="preserve"> </w:t>
                </w:r>
                <w:proofErr w:type="spellStart"/>
                <w:r w:rsidRPr="000E4B8E">
                  <w:t>Akademie</w:t>
                </w:r>
                <w:proofErr w:type="spellEnd"/>
                <w:r w:rsidRPr="000E4B8E">
                  <w:t xml:space="preserve"> der </w:t>
                </w:r>
                <w:proofErr w:type="spellStart"/>
                <w:r w:rsidRPr="000E4B8E">
                  <w:t>Künste</w:t>
                </w:r>
                <w:proofErr w:type="spellEnd"/>
                <w:r w:rsidRPr="000E4B8E">
                  <w:t xml:space="preserve"> in Hamburg and the Royal Swedish Academy of Music, and has received the Prix de Monaco (1987), the </w:t>
                </w:r>
                <w:proofErr w:type="spellStart"/>
                <w:r w:rsidRPr="000E4B8E">
                  <w:t>Premio</w:t>
                </w:r>
                <w:proofErr w:type="spellEnd"/>
                <w:r w:rsidRPr="000E4B8E">
                  <w:t xml:space="preserve"> Franco </w:t>
                </w:r>
                <w:proofErr w:type="spellStart"/>
                <w:r w:rsidRPr="000E4B8E">
                  <w:t>Abbiato</w:t>
                </w:r>
                <w:proofErr w:type="spellEnd"/>
                <w:r w:rsidRPr="000E4B8E">
                  <w:t xml:space="preserve"> (1991), the Heidelberger </w:t>
                </w:r>
                <w:proofErr w:type="spellStart"/>
                <w:r w:rsidRPr="000E4B8E">
                  <w:t>Kьnstlerinnenpreis</w:t>
                </w:r>
                <w:proofErr w:type="spellEnd"/>
                <w:r w:rsidRPr="000E4B8E">
                  <w:t xml:space="preserve"> (1991), the Russian </w:t>
                </w:r>
                <w:hyperlink r:id="rId9" w:history="1">
                  <w:r w:rsidRPr="000E4B8E">
                    <w:t>State</w:t>
                  </w:r>
                </w:hyperlink>
                <w:r w:rsidRPr="000E4B8E">
                  <w:t xml:space="preserve"> Prize (1992), the </w:t>
                </w:r>
                <w:proofErr w:type="spellStart"/>
                <w:r w:rsidRPr="000E4B8E">
                  <w:t>SpohrPreis</w:t>
                </w:r>
                <w:proofErr w:type="spellEnd"/>
                <w:r w:rsidRPr="000E4B8E">
                  <w:t xml:space="preserve"> (1995), </w:t>
                </w:r>
                <w:proofErr w:type="spellStart"/>
                <w:r w:rsidRPr="000E4B8E">
                  <w:t>Praemium</w:t>
                </w:r>
                <w:proofErr w:type="spellEnd"/>
                <w:r w:rsidRPr="000E4B8E">
                  <w:t xml:space="preserve"> </w:t>
                </w:r>
                <w:proofErr w:type="spellStart"/>
                <w:r w:rsidRPr="000E4B8E">
                  <w:t>Imperiale</w:t>
                </w:r>
                <w:proofErr w:type="spellEnd"/>
                <w:r w:rsidRPr="000E4B8E">
                  <w:t xml:space="preserve"> in Japan (1998), the </w:t>
                </w:r>
                <w:proofErr w:type="spellStart"/>
                <w:r w:rsidRPr="000E4B8E">
                  <w:t>Sonning</w:t>
                </w:r>
                <w:proofErr w:type="spellEnd"/>
                <w:r w:rsidRPr="000E4B8E">
                  <w:t xml:space="preserve"> Prize in Denmark (1999), and the Polar Music Prize in Sweden (2002). </w:t>
                </w:r>
              </w:p>
              <w:p w14:paraId="3540368F" w14:textId="77777777" w:rsidR="004959C4" w:rsidRPr="000E4B8E" w:rsidRDefault="004959C4" w:rsidP="004959C4"/>
              <w:p w14:paraId="7B79CF75" w14:textId="77777777" w:rsidR="004959C4" w:rsidRPr="000E4B8E" w:rsidRDefault="004959C4" w:rsidP="008E766C">
                <w:pPr>
                  <w:pStyle w:val="Heading1"/>
                  <w:outlineLvl w:val="0"/>
                </w:pPr>
                <w:r w:rsidRPr="000E4B8E">
                  <w:t>Style</w:t>
                </w:r>
              </w:p>
              <w:p w14:paraId="0B18AE99" w14:textId="77777777" w:rsidR="004959C4" w:rsidRPr="000E4B8E" w:rsidRDefault="004959C4" w:rsidP="004959C4">
                <w:proofErr w:type="spellStart"/>
                <w:r w:rsidRPr="000E4B8E">
                  <w:t>Gubaidulina’s</w:t>
                </w:r>
                <w:proofErr w:type="spellEnd"/>
                <w:r w:rsidRPr="000E4B8E">
                  <w:t xml:space="preserve"> modernism lies essentially in her approach to sound, and her philosophical exploration of its nature.  Her employment of unusual instruments and performing techniques throughout her career take her detailed investigation into sound far beyond such approaches as </w:t>
                </w:r>
                <w:proofErr w:type="spellStart"/>
                <w:r w:rsidRPr="000E4B8E">
                  <w:t>sonorism</w:t>
                </w:r>
                <w:proofErr w:type="spellEnd"/>
                <w:r w:rsidRPr="000E4B8E">
                  <w:t xml:space="preserve">, and has something in common with the work of Luigi </w:t>
                </w:r>
                <w:proofErr w:type="spellStart"/>
                <w:r w:rsidRPr="000E4B8E">
                  <w:t>Nono</w:t>
                </w:r>
                <w:proofErr w:type="spellEnd"/>
                <w:r w:rsidRPr="000E4B8E">
                  <w:t xml:space="preserve">, whose music had a considerable impact on Russian composers of </w:t>
                </w:r>
                <w:proofErr w:type="spellStart"/>
                <w:r w:rsidRPr="000E4B8E">
                  <w:t>Gubaidulina’s</w:t>
                </w:r>
                <w:proofErr w:type="spellEnd"/>
                <w:r w:rsidRPr="000E4B8E">
                  <w:t xml:space="preserve"> generation.</w:t>
                </w:r>
              </w:p>
              <w:p w14:paraId="4CEED70F" w14:textId="77777777" w:rsidR="004959C4" w:rsidRPr="000E4B8E" w:rsidRDefault="004959C4" w:rsidP="004959C4"/>
              <w:p w14:paraId="01BD2C20" w14:textId="77777777" w:rsidR="004959C4" w:rsidRPr="000E4B8E" w:rsidRDefault="004959C4" w:rsidP="004959C4">
                <w:r w:rsidRPr="000E4B8E">
                  <w:t xml:space="preserve">Her earliest acknowledged music, such as the Piano Sonata (1965) clearly reveals the influence of the essentially neo-baroque counterpoint of the Shostakovich </w:t>
                </w:r>
                <w:r w:rsidRPr="000E4B8E">
                  <w:rPr>
                    <w:i/>
                  </w:rPr>
                  <w:t>Preludes</w:t>
                </w:r>
                <w:r w:rsidRPr="000E4B8E">
                  <w:t xml:space="preserve">, but the harmonic vocabulary is far more angular: dodecaphonic procedures are characteristic of this period, though used in a highly personal manner.  In </w:t>
                </w:r>
                <w:r w:rsidRPr="000E4B8E">
                  <w:rPr>
                    <w:i/>
                  </w:rPr>
                  <w:t>Night in Memphis</w:t>
                </w:r>
                <w:r w:rsidRPr="000E4B8E">
                  <w:t xml:space="preserve"> (1968), for example, the intervals of the series are subdivided in such a way as to reflect the binary division of the work’s theme, between the personal and the extra-personal, the rational and the spontaneous.  There is also no conventional sense of discursive development, but rather an episodic structure in which time often seems to be suspended, something that would come to be characteristic of much of </w:t>
                </w:r>
                <w:proofErr w:type="spellStart"/>
                <w:r w:rsidRPr="000E4B8E">
                  <w:t>Gubaidulina’s</w:t>
                </w:r>
                <w:proofErr w:type="spellEnd"/>
                <w:r w:rsidRPr="000E4B8E">
                  <w:t xml:space="preserve"> work.</w:t>
                </w:r>
              </w:p>
              <w:p w14:paraId="51527AA7" w14:textId="77777777" w:rsidR="004959C4" w:rsidRPr="000E4B8E" w:rsidRDefault="004959C4" w:rsidP="004959C4"/>
              <w:p w14:paraId="643826E5" w14:textId="77777777" w:rsidR="004959C4" w:rsidRPr="000E4B8E" w:rsidRDefault="004959C4" w:rsidP="004959C4">
                <w:r w:rsidRPr="000E4B8E">
                  <w:t xml:space="preserve">There is already an interest in sonic experimentation, including, in the Sonata, percussive effects on the keyboard and playing directly on the strings inside the instrument as well as on the keyboard.  In </w:t>
                </w:r>
                <w:proofErr w:type="spellStart"/>
                <w:r w:rsidRPr="000E4B8E">
                  <w:rPr>
                    <w:i/>
                  </w:rPr>
                  <w:t>Rubaiyat</w:t>
                </w:r>
                <w:proofErr w:type="spellEnd"/>
                <w:r w:rsidRPr="000E4B8E">
                  <w:t xml:space="preserve"> (1969), performance techniques become the means of transmitting in extraordinarily direct fashion the emotions depicted in the text, the baritone soloist, for example, working from lyrical singing to the use of the microphone, adding one by one techniques such as </w:t>
                </w:r>
                <w:r w:rsidRPr="000E4B8E">
                  <w:rPr>
                    <w:i/>
                  </w:rPr>
                  <w:t>Sprechstimme</w:t>
                </w:r>
                <w:r w:rsidRPr="000E4B8E">
                  <w:t xml:space="preserve">, sighing and glissando.   </w:t>
                </w:r>
                <w:proofErr w:type="gramStart"/>
                <w:r w:rsidRPr="000E4B8E">
                  <w:t xml:space="preserve">Such techniques have been frequently employed by </w:t>
                </w:r>
                <w:proofErr w:type="spellStart"/>
                <w:r w:rsidRPr="000E4B8E">
                  <w:t>Gubaidulina</w:t>
                </w:r>
                <w:proofErr w:type="spellEnd"/>
                <w:proofErr w:type="gramEnd"/>
                <w:r w:rsidRPr="000E4B8E">
                  <w:t xml:space="preserve"> in combination with religious symbolism, as demonstrated by </w:t>
                </w:r>
                <w:r w:rsidRPr="000E4B8E">
                  <w:rPr>
                    <w:i/>
                    <w:iCs/>
                  </w:rPr>
                  <w:t xml:space="preserve">In </w:t>
                </w:r>
                <w:proofErr w:type="spellStart"/>
                <w:r w:rsidRPr="000E4B8E">
                  <w:rPr>
                    <w:i/>
                    <w:iCs/>
                  </w:rPr>
                  <w:t>croce</w:t>
                </w:r>
                <w:proofErr w:type="spellEnd"/>
                <w:r w:rsidRPr="000E4B8E">
                  <w:t xml:space="preserve"> (1979/92), whose </w:t>
                </w:r>
                <w:proofErr w:type="spellStart"/>
                <w:r w:rsidRPr="000E4B8E">
                  <w:t>registral</w:t>
                </w:r>
                <w:proofErr w:type="spellEnd"/>
                <w:r w:rsidRPr="000E4B8E">
                  <w:t xml:space="preserve"> crossings represent the two planes of the Cross.</w:t>
                </w:r>
              </w:p>
              <w:p w14:paraId="593901F2" w14:textId="77777777" w:rsidR="004959C4" w:rsidRPr="000E4B8E" w:rsidRDefault="004959C4" w:rsidP="004959C4"/>
              <w:p w14:paraId="7B0C8A2F" w14:textId="77777777" w:rsidR="004959C4" w:rsidRPr="000E4B8E" w:rsidRDefault="004959C4" w:rsidP="004959C4">
                <w:pPr>
                  <w:rPr>
                    <w:i/>
                    <w:iCs/>
                  </w:rPr>
                </w:pPr>
                <w:r w:rsidRPr="000E4B8E">
                  <w:t xml:space="preserve">Other examples of the symbolism of duality include the </w:t>
                </w:r>
                <w:r>
                  <w:t>‘</w:t>
                </w:r>
                <w:r w:rsidRPr="000E4B8E">
                  <w:t xml:space="preserve">Solo per </w:t>
                </w:r>
                <w:proofErr w:type="spellStart"/>
                <w:r w:rsidRPr="000E4B8E">
                  <w:t>direttore</w:t>
                </w:r>
                <w:proofErr w:type="spellEnd"/>
                <w:r>
                  <w:t>’</w:t>
                </w:r>
                <w:r w:rsidRPr="000E4B8E">
                  <w:t xml:space="preserve"> in the Symphony </w:t>
                </w:r>
                <w:proofErr w:type="spellStart"/>
                <w:r w:rsidRPr="000E4B8E">
                  <w:rPr>
                    <w:i/>
                    <w:iCs/>
                  </w:rPr>
                  <w:t>Stimmen</w:t>
                </w:r>
                <w:proofErr w:type="spellEnd"/>
                <w:r w:rsidRPr="000E4B8E">
                  <w:rPr>
                    <w:i/>
                    <w:iCs/>
                  </w:rPr>
                  <w:t>...</w:t>
                </w:r>
                <w:proofErr w:type="spellStart"/>
                <w:r w:rsidRPr="000E4B8E">
                  <w:rPr>
                    <w:i/>
                    <w:iCs/>
                  </w:rPr>
                  <w:t>Verstummen</w:t>
                </w:r>
                <w:proofErr w:type="spellEnd"/>
                <w:r w:rsidRPr="000E4B8E">
                  <w:t xml:space="preserve"> (1986) the intersections between notated and improvised worlds in </w:t>
                </w:r>
                <w:proofErr w:type="spellStart"/>
                <w:r w:rsidRPr="000E4B8E">
                  <w:rPr>
                    <w:i/>
                    <w:iCs/>
                  </w:rPr>
                  <w:lastRenderedPageBreak/>
                  <w:t>Stufen</w:t>
                </w:r>
                <w:proofErr w:type="spellEnd"/>
                <w:r w:rsidRPr="000E4B8E">
                  <w:t xml:space="preserve"> of (1992) and between </w:t>
                </w:r>
                <w:r>
                  <w:t>‘</w:t>
                </w:r>
                <w:r w:rsidRPr="000E4B8E">
                  <w:t>high</w:t>
                </w:r>
                <w:r>
                  <w:t>’</w:t>
                </w:r>
                <w:r w:rsidRPr="000E4B8E">
                  <w:t xml:space="preserve"> and </w:t>
                </w:r>
                <w:r>
                  <w:t>‘</w:t>
                </w:r>
                <w:r w:rsidRPr="000E4B8E">
                  <w:t>low</w:t>
                </w:r>
                <w:r>
                  <w:t>’</w:t>
                </w:r>
                <w:r w:rsidRPr="000E4B8E">
                  <w:t xml:space="preserve"> realms in </w:t>
                </w:r>
                <w:proofErr w:type="spellStart"/>
                <w:r w:rsidRPr="000E4B8E">
                  <w:rPr>
                    <w:i/>
                    <w:iCs/>
                  </w:rPr>
                  <w:t>Sieben</w:t>
                </w:r>
                <w:proofErr w:type="spellEnd"/>
                <w:r w:rsidRPr="000E4B8E">
                  <w:rPr>
                    <w:i/>
                    <w:iCs/>
                  </w:rPr>
                  <w:t xml:space="preserve"> </w:t>
                </w:r>
                <w:proofErr w:type="spellStart"/>
                <w:r w:rsidRPr="000E4B8E">
                  <w:rPr>
                    <w:i/>
                    <w:iCs/>
                  </w:rPr>
                  <w:t>Worte</w:t>
                </w:r>
                <w:proofErr w:type="spellEnd"/>
                <w:r w:rsidRPr="000E4B8E">
                  <w:rPr>
                    <w:i/>
                    <w:iCs/>
                  </w:rPr>
                  <w:t xml:space="preserve"> </w:t>
                </w:r>
                <w:r w:rsidRPr="000E4B8E">
                  <w:t xml:space="preserve">(1982) for 'cello, </w:t>
                </w:r>
                <w:proofErr w:type="spellStart"/>
                <w:r w:rsidRPr="000E4B8E">
                  <w:t>bayan</w:t>
                </w:r>
                <w:proofErr w:type="spellEnd"/>
                <w:r w:rsidRPr="000E4B8E">
                  <w:t xml:space="preserve"> and strings and the </w:t>
                </w:r>
                <w:proofErr w:type="spellStart"/>
                <w:r w:rsidRPr="000E4B8E">
                  <w:t>bayan</w:t>
                </w:r>
                <w:proofErr w:type="spellEnd"/>
                <w:r w:rsidRPr="000E4B8E">
                  <w:t xml:space="preserve"> concerto </w:t>
                </w:r>
                <w:proofErr w:type="spellStart"/>
                <w:r w:rsidRPr="000E4B8E">
                  <w:rPr>
                    <w:i/>
                  </w:rPr>
                  <w:t>Fachwerk</w:t>
                </w:r>
                <w:proofErr w:type="spellEnd"/>
                <w:r w:rsidRPr="000E4B8E">
                  <w:rPr>
                    <w:i/>
                  </w:rPr>
                  <w:t xml:space="preserve"> </w:t>
                </w:r>
                <w:r w:rsidRPr="000E4B8E">
                  <w:t>(2009), and the two realms created by the use of tape, and the technique of bouncing rubber balls on the strings, in the String Quartet no. 4 (1993).</w:t>
                </w:r>
              </w:p>
              <w:p w14:paraId="2B1E3525" w14:textId="77777777" w:rsidR="004959C4" w:rsidRPr="000E4B8E" w:rsidRDefault="004959C4" w:rsidP="004959C4">
                <w:pPr>
                  <w:spacing w:line="200" w:lineRule="atLeast"/>
                </w:pPr>
              </w:p>
              <w:p w14:paraId="40E9A0E3" w14:textId="77777777" w:rsidR="004959C4" w:rsidRPr="000E4B8E" w:rsidRDefault="004959C4" w:rsidP="004959C4">
                <w:r w:rsidRPr="000E4B8E">
                  <w:t xml:space="preserve">In many works from </w:t>
                </w:r>
                <w:proofErr w:type="spellStart"/>
                <w:r w:rsidRPr="000E4B8E">
                  <w:rPr>
                    <w:i/>
                  </w:rPr>
                  <w:t>Offertorium</w:t>
                </w:r>
                <w:proofErr w:type="spellEnd"/>
                <w:r w:rsidRPr="000E4B8E">
                  <w:t xml:space="preserve"> (1980) onwards, fragmentation and dissolution are deconstructed and transcended.  The Bach theme on which the work is built is </w:t>
                </w:r>
                <w:r>
                  <w:t>‘</w:t>
                </w:r>
                <w:r w:rsidRPr="000E4B8E">
                  <w:t>analysed</w:t>
                </w:r>
                <w:r>
                  <w:t>’</w:t>
                </w:r>
                <w:r w:rsidRPr="000E4B8E">
                  <w:t xml:space="preserve"> </w:t>
                </w:r>
                <w:proofErr w:type="spellStart"/>
                <w:r w:rsidRPr="000E4B8E">
                  <w:t>orchestrally</w:t>
                </w:r>
                <w:proofErr w:type="spellEnd"/>
                <w:r w:rsidRPr="000E4B8E">
                  <w:t xml:space="preserve">, by means of </w:t>
                </w:r>
                <w:r w:rsidRPr="000E4B8E">
                  <w:rPr>
                    <w:i/>
                  </w:rPr>
                  <w:t>Klangfarbenmelodie</w:t>
                </w:r>
                <w:r w:rsidRPr="000E4B8E">
                  <w:t xml:space="preserve">, but is the cue for a gradual rebuilding of the music’s identity, a project that one may consider has taken the composer into post-modernism.  Certainly at the time of </w:t>
                </w:r>
                <w:proofErr w:type="spellStart"/>
                <w:r w:rsidRPr="000E4B8E">
                  <w:rPr>
                    <w:i/>
                  </w:rPr>
                  <w:t>Offertorium</w:t>
                </w:r>
                <w:r w:rsidRPr="000E4B8E">
                  <w:t>’s</w:t>
                </w:r>
                <w:proofErr w:type="spellEnd"/>
                <w:r w:rsidRPr="000E4B8E">
                  <w:t xml:space="preserve"> great exposure and success in the West, it could not be seen as </w:t>
                </w:r>
                <w:r w:rsidRPr="000E4B8E">
                  <w:rPr>
                    <w:i/>
                  </w:rPr>
                  <w:t>avant-garde</w:t>
                </w:r>
                <w:r w:rsidRPr="000E4B8E">
                  <w:t>: rather, its employment of modernist vocabulary was entirely natural, as was its overt connection with the past.</w:t>
                </w:r>
              </w:p>
              <w:p w14:paraId="5DCDF323" w14:textId="77777777" w:rsidR="004959C4" w:rsidRPr="000E4B8E" w:rsidRDefault="004959C4" w:rsidP="004959C4">
                <w:pPr>
                  <w:pStyle w:val="NormalWeb"/>
                  <w:shd w:val="clear" w:color="auto" w:fill="FFFFFF"/>
                  <w:spacing w:before="0" w:beforeAutospacing="0" w:after="0" w:afterAutospacing="0" w:line="252" w:lineRule="atLeast"/>
                  <w:rPr>
                    <w:rFonts w:ascii="Lucida Sans Unicode" w:hAnsi="Lucida Sans Unicode" w:cs="Lucida Sans Unicode"/>
                    <w:color w:val="000000"/>
                  </w:rPr>
                </w:pPr>
              </w:p>
              <w:p w14:paraId="40F57B47" w14:textId="77777777" w:rsidR="004959C4" w:rsidRPr="008E766C" w:rsidRDefault="004959C4" w:rsidP="008E766C">
                <w:pPr>
                  <w:pStyle w:val="Heading1"/>
                  <w:outlineLvl w:val="0"/>
                </w:pPr>
                <w:r w:rsidRPr="000E4B8E">
                  <w:t xml:space="preserve">Selected </w:t>
                </w:r>
                <w:r w:rsidR="008E766C">
                  <w:t>List of W</w:t>
                </w:r>
                <w:r w:rsidRPr="000E4B8E">
                  <w:t>orks</w:t>
                </w:r>
                <w:r w:rsidR="008E766C">
                  <w:t>:</w:t>
                </w:r>
              </w:p>
              <w:p w14:paraId="24872C69" w14:textId="77777777" w:rsidR="004959C4" w:rsidRPr="000E4B8E" w:rsidRDefault="004959C4" w:rsidP="004959C4">
                <w:proofErr w:type="spellStart"/>
                <w:r w:rsidRPr="000E4B8E">
                  <w:rPr>
                    <w:i/>
                  </w:rPr>
                  <w:t>Phacelia</w:t>
                </w:r>
                <w:proofErr w:type="spellEnd"/>
                <w:r w:rsidRPr="000E4B8E">
                  <w:t xml:space="preserve">, soprano, symphony orchestra </w:t>
                </w:r>
                <w:r w:rsidR="008E766C">
                  <w:t>(</w:t>
                </w:r>
                <w:r w:rsidRPr="000E4B8E">
                  <w:t>1956</w:t>
                </w:r>
                <w:r w:rsidR="008E766C">
                  <w:t>)</w:t>
                </w:r>
              </w:p>
              <w:p w14:paraId="70BF74E9" w14:textId="77777777" w:rsidR="004959C4" w:rsidRPr="000E4B8E" w:rsidRDefault="004959C4" w:rsidP="004959C4">
                <w:r w:rsidRPr="000E4B8E">
                  <w:t xml:space="preserve">Sonata, piano </w:t>
                </w:r>
                <w:r w:rsidR="008E766C">
                  <w:t>(</w:t>
                </w:r>
                <w:r w:rsidRPr="000E4B8E">
                  <w:t>1965</w:t>
                </w:r>
                <w:r w:rsidR="008E766C">
                  <w:t>)</w:t>
                </w:r>
              </w:p>
              <w:p w14:paraId="7BF4F465" w14:textId="77777777" w:rsidR="004959C4" w:rsidRPr="000E4B8E" w:rsidRDefault="004959C4" w:rsidP="004959C4">
                <w:r w:rsidRPr="000E4B8E">
                  <w:t xml:space="preserve">Piano Quintet </w:t>
                </w:r>
                <w:r w:rsidR="008E766C">
                  <w:t>(</w:t>
                </w:r>
                <w:r w:rsidRPr="000E4B8E">
                  <w:t>1957</w:t>
                </w:r>
                <w:r w:rsidR="008E766C">
                  <w:t>)</w:t>
                </w:r>
              </w:p>
              <w:p w14:paraId="7F50BA4D" w14:textId="77777777" w:rsidR="004959C4" w:rsidRPr="000E4B8E" w:rsidRDefault="004959C4" w:rsidP="004959C4">
                <w:r w:rsidRPr="000E4B8E">
                  <w:rPr>
                    <w:i/>
                  </w:rPr>
                  <w:t>Night in Memphis</w:t>
                </w:r>
                <w:r w:rsidRPr="000E4B8E">
                  <w:t xml:space="preserve"> mezzo-soprano, tape, chamber orchestra </w:t>
                </w:r>
                <w:r w:rsidR="008E766C">
                  <w:t>(</w:t>
                </w:r>
                <w:r w:rsidRPr="000E4B8E">
                  <w:t>1968/1988/1992</w:t>
                </w:r>
                <w:r w:rsidR="008E766C">
                  <w:t>)</w:t>
                </w:r>
              </w:p>
              <w:p w14:paraId="570826AA" w14:textId="77777777" w:rsidR="004959C4" w:rsidRPr="000E4B8E" w:rsidRDefault="004959C4" w:rsidP="004959C4">
                <w:proofErr w:type="spellStart"/>
                <w:r w:rsidRPr="000E4B8E">
                  <w:rPr>
                    <w:i/>
                  </w:rPr>
                  <w:t>Rubaiyat</w:t>
                </w:r>
                <w:proofErr w:type="spellEnd"/>
                <w:r w:rsidRPr="000E4B8E">
                  <w:t xml:space="preserve">, baritone, chamber orchestra </w:t>
                </w:r>
                <w:r w:rsidR="008E766C">
                  <w:t>(</w:t>
                </w:r>
                <w:r w:rsidRPr="000E4B8E">
                  <w:t>1969</w:t>
                </w:r>
                <w:r w:rsidR="008E766C">
                  <w:t>)</w:t>
                </w:r>
              </w:p>
              <w:p w14:paraId="6EC029FC" w14:textId="77777777" w:rsidR="004959C4" w:rsidRPr="000E4B8E" w:rsidRDefault="004959C4" w:rsidP="004959C4">
                <w:proofErr w:type="spellStart"/>
                <w:r w:rsidRPr="000E4B8E">
                  <w:rPr>
                    <w:i/>
                  </w:rPr>
                  <w:t>Concordanza</w:t>
                </w:r>
                <w:proofErr w:type="spellEnd"/>
                <w:r w:rsidRPr="000E4B8E">
                  <w:t xml:space="preserve">, ensemble </w:t>
                </w:r>
                <w:r w:rsidR="008E766C">
                  <w:t>(</w:t>
                </w:r>
                <w:r w:rsidRPr="000E4B8E">
                  <w:t>1971</w:t>
                </w:r>
                <w:r w:rsidR="008E766C">
                  <w:t>)</w:t>
                </w:r>
              </w:p>
              <w:p w14:paraId="5D17ADC5" w14:textId="77777777" w:rsidR="004959C4" w:rsidRPr="000E4B8E" w:rsidRDefault="004959C4" w:rsidP="004959C4">
                <w:r w:rsidRPr="000E4B8E">
                  <w:t xml:space="preserve">String Quartet no. 1 </w:t>
                </w:r>
                <w:r w:rsidR="008E766C">
                  <w:t>(</w:t>
                </w:r>
                <w:r w:rsidRPr="000E4B8E">
                  <w:t>1971</w:t>
                </w:r>
                <w:r w:rsidR="008E766C">
                  <w:t>)</w:t>
                </w:r>
              </w:p>
              <w:p w14:paraId="707236E7" w14:textId="77777777" w:rsidR="004959C4" w:rsidRPr="000E4B8E" w:rsidRDefault="004959C4" w:rsidP="004959C4">
                <w:r w:rsidRPr="000E4B8E">
                  <w:rPr>
                    <w:i/>
                  </w:rPr>
                  <w:t>Steps</w:t>
                </w:r>
                <w:r w:rsidRPr="000E4B8E">
                  <w:t xml:space="preserve">, speaker, orchestra </w:t>
                </w:r>
                <w:r w:rsidR="008E766C">
                  <w:t>(</w:t>
                </w:r>
                <w:r w:rsidRPr="000E4B8E">
                  <w:t>1972/1986/1992</w:t>
                </w:r>
                <w:r w:rsidR="008E766C">
                  <w:t>)</w:t>
                </w:r>
              </w:p>
              <w:p w14:paraId="68B1420A" w14:textId="77777777" w:rsidR="004959C4" w:rsidRPr="000E4B8E" w:rsidRDefault="004959C4" w:rsidP="004959C4">
                <w:r w:rsidRPr="000E4B8E">
                  <w:rPr>
                    <w:i/>
                  </w:rPr>
                  <w:t>Hour of the Soul</w:t>
                </w:r>
                <w:r w:rsidRPr="000E4B8E">
                  <w:t xml:space="preserve">, mezzo-soprano, large wind orchestra </w:t>
                </w:r>
                <w:r w:rsidR="008E766C">
                  <w:t>(</w:t>
                </w:r>
                <w:r w:rsidRPr="000E4B8E">
                  <w:t>1974</w:t>
                </w:r>
                <w:r w:rsidR="008E766C">
                  <w:t>)</w:t>
                </w:r>
              </w:p>
              <w:p w14:paraId="733F58DD" w14:textId="77777777" w:rsidR="004959C4" w:rsidRPr="000E4B8E" w:rsidRDefault="004959C4" w:rsidP="004959C4">
                <w:r w:rsidRPr="000E4B8E">
                  <w:t xml:space="preserve">Concerto for bassoon and low strings </w:t>
                </w:r>
                <w:r w:rsidR="008E766C">
                  <w:t>(</w:t>
                </w:r>
                <w:r w:rsidRPr="000E4B8E">
                  <w:t>1975</w:t>
                </w:r>
                <w:r w:rsidR="008E766C">
                  <w:t>)</w:t>
                </w:r>
              </w:p>
              <w:p w14:paraId="60411151" w14:textId="77777777" w:rsidR="004959C4" w:rsidRPr="000E4B8E" w:rsidRDefault="004959C4" w:rsidP="004959C4">
                <w:proofErr w:type="spellStart"/>
                <w:r w:rsidRPr="000E4B8E">
                  <w:rPr>
                    <w:i/>
                  </w:rPr>
                  <w:t>Introitus</w:t>
                </w:r>
                <w:proofErr w:type="spellEnd"/>
                <w:r w:rsidRPr="000E4B8E">
                  <w:t xml:space="preserve">, piano and chamber orchestra </w:t>
                </w:r>
                <w:r w:rsidR="008E766C">
                  <w:t>(</w:t>
                </w:r>
                <w:r w:rsidRPr="000E4B8E">
                  <w:t>1978</w:t>
                </w:r>
                <w:r w:rsidR="008E766C">
                  <w:t>)</w:t>
                </w:r>
              </w:p>
              <w:p w14:paraId="3B423428" w14:textId="77777777" w:rsidR="004959C4" w:rsidRPr="000E4B8E" w:rsidRDefault="004959C4" w:rsidP="004959C4">
                <w:r w:rsidRPr="000E4B8E">
                  <w:rPr>
                    <w:i/>
                  </w:rPr>
                  <w:t xml:space="preserve">De </w:t>
                </w:r>
                <w:proofErr w:type="spellStart"/>
                <w:r w:rsidRPr="000E4B8E">
                  <w:rPr>
                    <w:i/>
                  </w:rPr>
                  <w:t>profundis</w:t>
                </w:r>
                <w:proofErr w:type="spellEnd"/>
                <w:r w:rsidRPr="000E4B8E">
                  <w:t xml:space="preserve">, </w:t>
                </w:r>
                <w:proofErr w:type="spellStart"/>
                <w:r w:rsidRPr="000E4B8E">
                  <w:t>bayan</w:t>
                </w:r>
                <w:proofErr w:type="spellEnd"/>
                <w:r w:rsidRPr="000E4B8E">
                  <w:t xml:space="preserve"> </w:t>
                </w:r>
                <w:r w:rsidR="008E766C">
                  <w:t>(</w:t>
                </w:r>
                <w:r w:rsidRPr="000E4B8E">
                  <w:t>1978</w:t>
                </w:r>
                <w:r w:rsidR="008E766C">
                  <w:t>)</w:t>
                </w:r>
              </w:p>
              <w:p w14:paraId="75D7B34D" w14:textId="77777777" w:rsidR="004959C4" w:rsidRPr="000E4B8E" w:rsidRDefault="004959C4" w:rsidP="004959C4">
                <w:r w:rsidRPr="000E4B8E">
                  <w:rPr>
                    <w:i/>
                  </w:rPr>
                  <w:t xml:space="preserve">In </w:t>
                </w:r>
                <w:proofErr w:type="spellStart"/>
                <w:r w:rsidRPr="000E4B8E">
                  <w:rPr>
                    <w:i/>
                  </w:rPr>
                  <w:t>croce</w:t>
                </w:r>
                <w:proofErr w:type="spellEnd"/>
                <w:r w:rsidRPr="000E4B8E">
                  <w:rPr>
                    <w:i/>
                  </w:rPr>
                  <w:t xml:space="preserve">, </w:t>
                </w:r>
                <w:r w:rsidRPr="000E4B8E">
                  <w:t xml:space="preserve">cello, organ </w:t>
                </w:r>
                <w:r w:rsidR="008E766C">
                  <w:t>(</w:t>
                </w:r>
                <w:r w:rsidRPr="000E4B8E">
                  <w:t>1979</w:t>
                </w:r>
                <w:r w:rsidR="008E766C">
                  <w:t>)</w:t>
                </w:r>
              </w:p>
              <w:p w14:paraId="6F0689D4" w14:textId="77777777" w:rsidR="004959C4" w:rsidRPr="000E4B8E" w:rsidRDefault="004959C4" w:rsidP="004959C4">
                <w:proofErr w:type="spellStart"/>
                <w:r w:rsidRPr="000E4B8E">
                  <w:rPr>
                    <w:i/>
                  </w:rPr>
                  <w:t>Offertorium</w:t>
                </w:r>
                <w:proofErr w:type="spellEnd"/>
                <w:r w:rsidRPr="000E4B8E">
                  <w:t xml:space="preserve">, violin and orchestra </w:t>
                </w:r>
                <w:r w:rsidR="008E766C">
                  <w:t>(</w:t>
                </w:r>
                <w:r w:rsidRPr="000E4B8E">
                  <w:t>1980/1982/1986</w:t>
                </w:r>
                <w:r w:rsidR="008E766C">
                  <w:t>)</w:t>
                </w:r>
              </w:p>
              <w:p w14:paraId="68E289C4" w14:textId="77777777" w:rsidR="004959C4" w:rsidRPr="000E4B8E" w:rsidRDefault="004959C4" w:rsidP="004959C4">
                <w:r w:rsidRPr="000E4B8E">
                  <w:rPr>
                    <w:i/>
                  </w:rPr>
                  <w:t>Seven Words</w:t>
                </w:r>
                <w:r w:rsidRPr="000E4B8E">
                  <w:t xml:space="preserve">, cello, </w:t>
                </w:r>
                <w:proofErr w:type="spellStart"/>
                <w:r w:rsidRPr="000E4B8E">
                  <w:t>bayan</w:t>
                </w:r>
                <w:proofErr w:type="spellEnd"/>
                <w:r w:rsidRPr="000E4B8E">
                  <w:t xml:space="preserve">, strings </w:t>
                </w:r>
                <w:r w:rsidR="008E766C">
                  <w:t>(</w:t>
                </w:r>
                <w:r w:rsidRPr="000E4B8E">
                  <w:t>1982</w:t>
                </w:r>
                <w:r w:rsidR="008E766C">
                  <w:t>)</w:t>
                </w:r>
              </w:p>
              <w:p w14:paraId="55CC18DE" w14:textId="77777777" w:rsidR="004959C4" w:rsidRPr="000E4B8E" w:rsidRDefault="004959C4" w:rsidP="004959C4">
                <w:proofErr w:type="spellStart"/>
                <w:r w:rsidRPr="000E4B8E">
                  <w:rPr>
                    <w:i/>
                  </w:rPr>
                  <w:t>Hommage</w:t>
                </w:r>
                <w:proofErr w:type="spellEnd"/>
                <w:r w:rsidRPr="000E4B8E">
                  <w:rPr>
                    <w:i/>
                  </w:rPr>
                  <w:t xml:space="preserve"> à Marina </w:t>
                </w:r>
                <w:proofErr w:type="spellStart"/>
                <w:r w:rsidRPr="000E4B8E">
                  <w:rPr>
                    <w:i/>
                  </w:rPr>
                  <w:t>Tsvetaeva</w:t>
                </w:r>
                <w:proofErr w:type="spellEnd"/>
                <w:r w:rsidRPr="000E4B8E">
                  <w:t xml:space="preserve">, choir </w:t>
                </w:r>
                <w:r w:rsidR="008E766C">
                  <w:t>(</w:t>
                </w:r>
                <w:r w:rsidRPr="000E4B8E">
                  <w:t>1984</w:t>
                </w:r>
                <w:r w:rsidR="008E766C">
                  <w:t>)</w:t>
                </w:r>
              </w:p>
              <w:p w14:paraId="11E2CF5F" w14:textId="77777777" w:rsidR="004959C4" w:rsidRPr="000E4B8E" w:rsidRDefault="004959C4" w:rsidP="004959C4">
                <w:r w:rsidRPr="000E4B8E">
                  <w:t xml:space="preserve">Symphony </w:t>
                </w:r>
                <w:proofErr w:type="spellStart"/>
                <w:r w:rsidRPr="000E4B8E">
                  <w:rPr>
                    <w:i/>
                  </w:rPr>
                  <w:t>Stimmen</w:t>
                </w:r>
                <w:proofErr w:type="spellEnd"/>
                <w:r w:rsidRPr="000E4B8E">
                  <w:rPr>
                    <w:i/>
                  </w:rPr>
                  <w:t xml:space="preserve">… </w:t>
                </w:r>
                <w:proofErr w:type="spellStart"/>
                <w:proofErr w:type="gramStart"/>
                <w:r w:rsidRPr="000E4B8E">
                  <w:rPr>
                    <w:i/>
                  </w:rPr>
                  <w:t>verstummen</w:t>
                </w:r>
                <w:proofErr w:type="spellEnd"/>
                <w:r w:rsidRPr="000E4B8E">
                  <w:rPr>
                    <w:i/>
                  </w:rPr>
                  <w:t>…</w:t>
                </w:r>
                <w:r w:rsidRPr="000E4B8E">
                  <w:t>,</w:t>
                </w:r>
                <w:proofErr w:type="gramEnd"/>
                <w:r w:rsidRPr="000E4B8E">
                  <w:t xml:space="preserve"> orchestra </w:t>
                </w:r>
                <w:r w:rsidR="008E766C">
                  <w:t>(</w:t>
                </w:r>
                <w:r w:rsidRPr="000E4B8E">
                  <w:t>1986</w:t>
                </w:r>
                <w:r w:rsidR="008E766C">
                  <w:t>)</w:t>
                </w:r>
              </w:p>
              <w:p w14:paraId="453A375E" w14:textId="77777777" w:rsidR="004959C4" w:rsidRPr="000E4B8E" w:rsidRDefault="004959C4" w:rsidP="004959C4">
                <w:proofErr w:type="spellStart"/>
                <w:r w:rsidRPr="000E4B8E">
                  <w:rPr>
                    <w:i/>
                  </w:rPr>
                  <w:t>Hommage</w:t>
                </w:r>
                <w:proofErr w:type="spellEnd"/>
                <w:r w:rsidRPr="000E4B8E">
                  <w:rPr>
                    <w:i/>
                  </w:rPr>
                  <w:t xml:space="preserve"> à T.S. Eliot</w:t>
                </w:r>
                <w:r w:rsidRPr="000E4B8E">
                  <w:t xml:space="preserve">, soprano, instrumental octet </w:t>
                </w:r>
                <w:r w:rsidR="008E766C">
                  <w:t>(</w:t>
                </w:r>
                <w:r w:rsidRPr="000E4B8E">
                  <w:t>1987</w:t>
                </w:r>
                <w:r w:rsidR="008E766C">
                  <w:t>)</w:t>
                </w:r>
              </w:p>
              <w:p w14:paraId="656AF267" w14:textId="77777777" w:rsidR="004959C4" w:rsidRPr="000E4B8E" w:rsidRDefault="004959C4" w:rsidP="004959C4">
                <w:r w:rsidRPr="000E4B8E">
                  <w:t xml:space="preserve">String Quartet no. 2 </w:t>
                </w:r>
                <w:r w:rsidR="008E766C">
                  <w:t>(</w:t>
                </w:r>
                <w:r w:rsidRPr="000E4B8E">
                  <w:t>1987</w:t>
                </w:r>
                <w:r w:rsidR="008E766C">
                  <w:t>)</w:t>
                </w:r>
              </w:p>
              <w:p w14:paraId="52E250C7" w14:textId="77777777" w:rsidR="004959C4" w:rsidRPr="000E4B8E" w:rsidRDefault="004959C4" w:rsidP="004959C4">
                <w:r w:rsidRPr="000E4B8E">
                  <w:t xml:space="preserve">String Quartet no. 3 </w:t>
                </w:r>
                <w:r w:rsidR="008E766C">
                  <w:t>(</w:t>
                </w:r>
                <w:r w:rsidRPr="000E4B8E">
                  <w:t>1987</w:t>
                </w:r>
                <w:r w:rsidR="008E766C">
                  <w:t>)</w:t>
                </w:r>
              </w:p>
              <w:p w14:paraId="4F41C9B2" w14:textId="77777777" w:rsidR="004959C4" w:rsidRPr="000E4B8E" w:rsidRDefault="004959C4" w:rsidP="004959C4">
                <w:r w:rsidRPr="000E4B8E">
                  <w:t xml:space="preserve">String Trio </w:t>
                </w:r>
                <w:r w:rsidR="008E766C">
                  <w:t>(</w:t>
                </w:r>
                <w:r w:rsidRPr="000E4B8E">
                  <w:t>1989</w:t>
                </w:r>
                <w:r w:rsidR="008E766C">
                  <w:t>)</w:t>
                </w:r>
              </w:p>
              <w:p w14:paraId="29E37E9E" w14:textId="77777777" w:rsidR="004959C4" w:rsidRPr="000E4B8E" w:rsidRDefault="004959C4" w:rsidP="004959C4">
                <w:r w:rsidRPr="000E4B8E">
                  <w:rPr>
                    <w:i/>
                  </w:rPr>
                  <w:t>Pro et Contra</w:t>
                </w:r>
                <w:r w:rsidRPr="000E4B8E">
                  <w:t xml:space="preserve">, large orchestra </w:t>
                </w:r>
                <w:r w:rsidR="008E766C">
                  <w:t>(</w:t>
                </w:r>
                <w:r w:rsidRPr="000E4B8E">
                  <w:t>1989</w:t>
                </w:r>
                <w:r w:rsidR="008E766C">
                  <w:t>)</w:t>
                </w:r>
              </w:p>
              <w:p w14:paraId="177D3BC8" w14:textId="77777777" w:rsidR="004959C4" w:rsidRPr="000E4B8E" w:rsidRDefault="004959C4" w:rsidP="004959C4">
                <w:r w:rsidRPr="000E4B8E">
                  <w:rPr>
                    <w:i/>
                  </w:rPr>
                  <w:t>Alleluia</w:t>
                </w:r>
                <w:r>
                  <w:t>, choir, boy soprano, organ, large orchestra, colour organ (a</w:t>
                </w:r>
                <w:r w:rsidRPr="000E4B8E">
                  <w:t>d lib.</w:t>
                </w:r>
                <w:r>
                  <w:t>)</w:t>
                </w:r>
                <w:r w:rsidRPr="000E4B8E">
                  <w:t xml:space="preserve"> </w:t>
                </w:r>
                <w:r w:rsidR="008E766C">
                  <w:t>(</w:t>
                </w:r>
                <w:r w:rsidRPr="000E4B8E">
                  <w:t>1990</w:t>
                </w:r>
                <w:r w:rsidR="008E766C">
                  <w:t>)</w:t>
                </w:r>
              </w:p>
              <w:p w14:paraId="3A6B2CF7" w14:textId="77777777" w:rsidR="004959C4" w:rsidRPr="000E4B8E" w:rsidRDefault="004959C4" w:rsidP="004959C4">
                <w:r w:rsidRPr="000E4B8E">
                  <w:rPr>
                    <w:i/>
                  </w:rPr>
                  <w:t>From the Book of Hours</w:t>
                </w:r>
                <w:r>
                  <w:t>, cello, orchestra, male choir</w:t>
                </w:r>
                <w:r w:rsidRPr="000E4B8E">
                  <w:t xml:space="preserve">, female reader </w:t>
                </w:r>
                <w:r w:rsidR="008E766C">
                  <w:t>(</w:t>
                </w:r>
                <w:r w:rsidRPr="000E4B8E">
                  <w:t>1991</w:t>
                </w:r>
                <w:r w:rsidR="008E766C">
                  <w:t>)</w:t>
                </w:r>
              </w:p>
              <w:p w14:paraId="3CA8DA3F" w14:textId="77777777" w:rsidR="004959C4" w:rsidRPr="000E4B8E" w:rsidRDefault="004959C4" w:rsidP="004959C4">
                <w:r w:rsidRPr="000E4B8E">
                  <w:rPr>
                    <w:i/>
                  </w:rPr>
                  <w:t>N</w:t>
                </w:r>
                <w:r>
                  <w:rPr>
                    <w:i/>
                  </w:rPr>
                  <w:t>ow Always Snow</w:t>
                </w:r>
                <w:r>
                  <w:t xml:space="preserve">, </w:t>
                </w:r>
                <w:r w:rsidRPr="000E4B8E">
                  <w:t>ens</w:t>
                </w:r>
                <w:r>
                  <w:t>emble</w:t>
                </w:r>
                <w:r w:rsidRPr="000E4B8E">
                  <w:t>, ch</w:t>
                </w:r>
                <w:r>
                  <w:t>am</w:t>
                </w:r>
                <w:r w:rsidRPr="000E4B8E">
                  <w:t>b</w:t>
                </w:r>
                <w:r>
                  <w:t>er choir</w:t>
                </w:r>
                <w:r w:rsidRPr="000E4B8E">
                  <w:t xml:space="preserve"> </w:t>
                </w:r>
                <w:r w:rsidR="008E766C">
                  <w:t>(</w:t>
                </w:r>
                <w:r w:rsidRPr="000E4B8E">
                  <w:t>1993</w:t>
                </w:r>
                <w:r w:rsidR="008E766C">
                  <w:t>)</w:t>
                </w:r>
              </w:p>
              <w:p w14:paraId="34C9668C" w14:textId="77777777" w:rsidR="004959C4" w:rsidRPr="000E4B8E" w:rsidRDefault="004959C4" w:rsidP="004959C4">
                <w:r w:rsidRPr="000E4B8E">
                  <w:rPr>
                    <w:i/>
                  </w:rPr>
                  <w:t>And: The Festivities at their Height</w:t>
                </w:r>
                <w:r>
                  <w:t>, cello, orchestra</w:t>
                </w:r>
                <w:r w:rsidRPr="000E4B8E">
                  <w:t xml:space="preserve"> </w:t>
                </w:r>
                <w:r w:rsidR="008E766C">
                  <w:t>(</w:t>
                </w:r>
                <w:r w:rsidRPr="000E4B8E">
                  <w:t>1993</w:t>
                </w:r>
                <w:r w:rsidR="008E766C">
                  <w:t>)</w:t>
                </w:r>
              </w:p>
              <w:p w14:paraId="2D6FE386" w14:textId="77777777" w:rsidR="004959C4" w:rsidRPr="000E4B8E" w:rsidRDefault="004959C4" w:rsidP="004959C4">
                <w:r w:rsidRPr="000E4B8E">
                  <w:t xml:space="preserve">String Quartet no, 4 </w:t>
                </w:r>
                <w:r w:rsidR="008E766C">
                  <w:t>(</w:t>
                </w:r>
                <w:r w:rsidRPr="000E4B8E">
                  <w:t>1993</w:t>
                </w:r>
                <w:r w:rsidR="008E766C">
                  <w:t>)</w:t>
                </w:r>
              </w:p>
              <w:p w14:paraId="38785D47" w14:textId="77777777" w:rsidR="004959C4" w:rsidRPr="000E4B8E" w:rsidRDefault="004959C4" w:rsidP="004959C4">
                <w:r w:rsidRPr="000E4B8E">
                  <w:rPr>
                    <w:i/>
                  </w:rPr>
                  <w:t>Quaternion</w:t>
                </w:r>
                <w:r>
                  <w:t>, 4 cellos</w:t>
                </w:r>
                <w:r w:rsidRPr="000E4B8E">
                  <w:t xml:space="preserve"> </w:t>
                </w:r>
                <w:r w:rsidR="008E766C">
                  <w:t>(</w:t>
                </w:r>
                <w:r w:rsidRPr="000E4B8E">
                  <w:t>1996</w:t>
                </w:r>
                <w:r w:rsidR="008E766C">
                  <w:t>)</w:t>
                </w:r>
              </w:p>
              <w:p w14:paraId="7C9F3F36" w14:textId="77777777" w:rsidR="004959C4" w:rsidRPr="000E4B8E" w:rsidRDefault="004959C4" w:rsidP="004959C4">
                <w:r w:rsidRPr="000E4B8E">
                  <w:t xml:space="preserve">Concerto for Viola and Orchestra </w:t>
                </w:r>
                <w:r w:rsidR="008E766C">
                  <w:t>(</w:t>
                </w:r>
                <w:r w:rsidRPr="000E4B8E">
                  <w:t>1996</w:t>
                </w:r>
                <w:r w:rsidR="008E766C">
                  <w:t>)</w:t>
                </w:r>
              </w:p>
              <w:p w14:paraId="0448F355" w14:textId="77777777" w:rsidR="004959C4" w:rsidRPr="000E4B8E" w:rsidRDefault="004959C4" w:rsidP="004959C4">
                <w:r w:rsidRPr="000E4B8E">
                  <w:rPr>
                    <w:i/>
                  </w:rPr>
                  <w:t>Canticle of the Sun</w:t>
                </w:r>
                <w:r>
                  <w:t xml:space="preserve">, </w:t>
                </w:r>
                <w:r w:rsidRPr="000E4B8E">
                  <w:t>c</w:t>
                </w:r>
                <w:r>
                  <w:t>ello</w:t>
                </w:r>
                <w:r w:rsidRPr="000E4B8E">
                  <w:t>, ch</w:t>
                </w:r>
                <w:r>
                  <w:t>am</w:t>
                </w:r>
                <w:r w:rsidRPr="000E4B8E">
                  <w:t>b</w:t>
                </w:r>
                <w:r>
                  <w:t>er choir</w:t>
                </w:r>
                <w:r w:rsidRPr="000E4B8E">
                  <w:t>, 2 perc</w:t>
                </w:r>
                <w:r>
                  <w:t>ussion</w:t>
                </w:r>
                <w:r w:rsidRPr="000E4B8E">
                  <w:t xml:space="preserve"> </w:t>
                </w:r>
                <w:r w:rsidR="008E766C">
                  <w:t>(</w:t>
                </w:r>
                <w:r w:rsidRPr="000E4B8E">
                  <w:t>1997</w:t>
                </w:r>
                <w:r w:rsidR="008E766C">
                  <w:t>)</w:t>
                </w:r>
              </w:p>
              <w:p w14:paraId="7DABA8F7" w14:textId="77777777" w:rsidR="004959C4" w:rsidRPr="000E4B8E" w:rsidRDefault="004959C4" w:rsidP="004959C4">
                <w:r w:rsidRPr="000E4B8E">
                  <w:rPr>
                    <w:i/>
                  </w:rPr>
                  <w:t>St John Passion</w:t>
                </w:r>
                <w:r>
                  <w:t xml:space="preserve">, </w:t>
                </w:r>
                <w:proofErr w:type="spellStart"/>
                <w:r>
                  <w:t>S</w:t>
                </w:r>
                <w:proofErr w:type="gramStart"/>
                <w:r>
                  <w:t>,T,Bar,B</w:t>
                </w:r>
                <w:proofErr w:type="spellEnd"/>
                <w:proofErr w:type="gramEnd"/>
                <w:r>
                  <w:t>, small choir, large choir, large orchestra</w:t>
                </w:r>
                <w:r w:rsidRPr="000E4B8E">
                  <w:t xml:space="preserve"> </w:t>
                </w:r>
                <w:r w:rsidR="008E766C">
                  <w:t>(</w:t>
                </w:r>
                <w:r w:rsidRPr="000E4B8E">
                  <w:t>2000</w:t>
                </w:r>
                <w:r w:rsidR="008E766C">
                  <w:t>)</w:t>
                </w:r>
              </w:p>
              <w:p w14:paraId="3D7E0890" w14:textId="77777777" w:rsidR="004959C4" w:rsidRPr="000E4B8E" w:rsidRDefault="004959C4" w:rsidP="004959C4">
                <w:r w:rsidRPr="000E4B8E">
                  <w:rPr>
                    <w:i/>
                  </w:rPr>
                  <w:t>St John Easter</w:t>
                </w:r>
                <w:r>
                  <w:t xml:space="preserve">, </w:t>
                </w:r>
                <w:proofErr w:type="spellStart"/>
                <w:r w:rsidRPr="000E4B8E">
                  <w:t>S</w:t>
                </w:r>
                <w:proofErr w:type="gramStart"/>
                <w:r w:rsidRPr="000E4B8E">
                  <w:t>,T,Bar,B</w:t>
                </w:r>
                <w:proofErr w:type="spellEnd"/>
                <w:proofErr w:type="gramEnd"/>
                <w:r w:rsidRPr="000E4B8E">
                  <w:t>, small ch</w:t>
                </w:r>
                <w:r>
                  <w:t>oir, large choir, large orchestra</w:t>
                </w:r>
                <w:r w:rsidRPr="000E4B8E">
                  <w:t xml:space="preserve"> </w:t>
                </w:r>
                <w:r w:rsidR="008E766C">
                  <w:t>(</w:t>
                </w:r>
                <w:r w:rsidRPr="000E4B8E">
                  <w:t>2001</w:t>
                </w:r>
                <w:r w:rsidR="008E766C">
                  <w:t>)</w:t>
                </w:r>
              </w:p>
              <w:p w14:paraId="271B4778" w14:textId="77777777" w:rsidR="004959C4" w:rsidRPr="000E4B8E" w:rsidRDefault="004959C4" w:rsidP="004959C4">
                <w:r w:rsidRPr="000E4B8E">
                  <w:rPr>
                    <w:i/>
                  </w:rPr>
                  <w:t>On the Edge of the Abyss</w:t>
                </w:r>
                <w:r>
                  <w:t xml:space="preserve">, </w:t>
                </w:r>
                <w:r w:rsidRPr="000E4B8E">
                  <w:t>7</w:t>
                </w:r>
                <w:r>
                  <w:t xml:space="preserve"> cellos</w:t>
                </w:r>
                <w:r w:rsidRPr="000E4B8E">
                  <w:t xml:space="preserve">, 2 </w:t>
                </w:r>
                <w:proofErr w:type="spellStart"/>
                <w:r w:rsidRPr="000E4B8E">
                  <w:t>aquaphones</w:t>
                </w:r>
                <w:proofErr w:type="spellEnd"/>
                <w:r w:rsidRPr="000E4B8E">
                  <w:t xml:space="preserve"> </w:t>
                </w:r>
                <w:r w:rsidR="008E766C">
                  <w:t>(</w:t>
                </w:r>
                <w:r w:rsidRPr="000E4B8E">
                  <w:t>2002</w:t>
                </w:r>
                <w:r w:rsidR="008E766C">
                  <w:t>)</w:t>
                </w:r>
              </w:p>
              <w:p w14:paraId="5C918130" w14:textId="77777777" w:rsidR="004959C4" w:rsidRPr="000E4B8E" w:rsidRDefault="004959C4" w:rsidP="004959C4">
                <w:r w:rsidRPr="000E4B8E">
                  <w:rPr>
                    <w:i/>
                  </w:rPr>
                  <w:t>The Light of the End</w:t>
                </w:r>
                <w:r>
                  <w:t>, large orchestra</w:t>
                </w:r>
                <w:r w:rsidRPr="000E4B8E">
                  <w:t xml:space="preserve"> </w:t>
                </w:r>
                <w:r w:rsidR="008E766C">
                  <w:t>(</w:t>
                </w:r>
                <w:r w:rsidRPr="000E4B8E">
                  <w:t>2002</w:t>
                </w:r>
                <w:r w:rsidR="008E766C">
                  <w:t>)</w:t>
                </w:r>
              </w:p>
              <w:p w14:paraId="5515E9ED" w14:textId="77777777" w:rsidR="004959C4" w:rsidRPr="000E4B8E" w:rsidRDefault="004959C4" w:rsidP="004959C4">
                <w:r w:rsidRPr="000E4B8E">
                  <w:rPr>
                    <w:i/>
                  </w:rPr>
                  <w:t>Under the Sign of Scorpio</w:t>
                </w:r>
                <w:r>
                  <w:t xml:space="preserve">, </w:t>
                </w:r>
                <w:hyperlink r:id="rId10" w:tooltip="Bayan (accordion)" w:history="1">
                  <w:proofErr w:type="spellStart"/>
                  <w:r w:rsidRPr="000E4B8E">
                    <w:t>bayan</w:t>
                  </w:r>
                  <w:proofErr w:type="spellEnd"/>
                </w:hyperlink>
                <w:r w:rsidRPr="000E4B8E">
                  <w:t xml:space="preserve">, large orchestra </w:t>
                </w:r>
                <w:r w:rsidR="008E766C">
                  <w:t>(</w:t>
                </w:r>
                <w:r w:rsidRPr="000E4B8E">
                  <w:t>2003</w:t>
                </w:r>
                <w:r w:rsidR="008E766C">
                  <w:t>)</w:t>
                </w:r>
              </w:p>
              <w:p w14:paraId="44BBFA9F" w14:textId="77777777" w:rsidR="004959C4" w:rsidRPr="000E4B8E" w:rsidRDefault="004959C4" w:rsidP="004959C4">
                <w:r w:rsidRPr="000E4B8E">
                  <w:rPr>
                    <w:i/>
                  </w:rPr>
                  <w:t>...The Deceitful Face of Hope and Despair</w:t>
                </w:r>
                <w:r>
                  <w:t xml:space="preserve">, </w:t>
                </w:r>
                <w:r w:rsidRPr="000E4B8E">
                  <w:t xml:space="preserve">flute and orchestra </w:t>
                </w:r>
                <w:r w:rsidR="008E766C">
                  <w:t>(</w:t>
                </w:r>
                <w:r w:rsidRPr="000E4B8E">
                  <w:t>2005</w:t>
                </w:r>
                <w:r w:rsidR="008E766C">
                  <w:t>)</w:t>
                </w:r>
              </w:p>
              <w:p w14:paraId="7A8A7136" w14:textId="77777777" w:rsidR="004959C4" w:rsidRPr="000E4B8E" w:rsidRDefault="004959C4" w:rsidP="004959C4">
                <w:r w:rsidRPr="000E4B8E">
                  <w:rPr>
                    <w:i/>
                  </w:rPr>
                  <w:t>The Lyre of Orpheus</w:t>
                </w:r>
                <w:r>
                  <w:t xml:space="preserve">, </w:t>
                </w:r>
                <w:r w:rsidRPr="000E4B8E">
                  <w:t>violin</w:t>
                </w:r>
                <w:r>
                  <w:t>, percussion</w:t>
                </w:r>
                <w:r w:rsidRPr="000E4B8E">
                  <w:t xml:space="preserve"> and strings </w:t>
                </w:r>
                <w:r w:rsidR="008E766C">
                  <w:t>(</w:t>
                </w:r>
                <w:r w:rsidRPr="000E4B8E">
                  <w:t>2006</w:t>
                </w:r>
                <w:r w:rsidR="008E766C">
                  <w:t>)</w:t>
                </w:r>
              </w:p>
              <w:p w14:paraId="2C262173" w14:textId="77777777" w:rsidR="004959C4" w:rsidRPr="000E4B8E" w:rsidRDefault="004959C4" w:rsidP="004959C4">
                <w:r w:rsidRPr="000E4B8E">
                  <w:rPr>
                    <w:i/>
                  </w:rPr>
                  <w:lastRenderedPageBreak/>
                  <w:t xml:space="preserve">In Tempus </w:t>
                </w:r>
                <w:proofErr w:type="spellStart"/>
                <w:r w:rsidRPr="000E4B8E">
                  <w:rPr>
                    <w:i/>
                  </w:rPr>
                  <w:t>Praesens</w:t>
                </w:r>
                <w:proofErr w:type="spellEnd"/>
                <w:r>
                  <w:t>,</w:t>
                </w:r>
                <w:r w:rsidRPr="000E4B8E">
                  <w:t xml:space="preserve"> violin and orchestra </w:t>
                </w:r>
                <w:r w:rsidR="008E766C">
                  <w:t>(</w:t>
                </w:r>
                <w:r w:rsidRPr="000E4B8E">
                  <w:t>2007</w:t>
                </w:r>
                <w:r w:rsidR="008E766C">
                  <w:t>)</w:t>
                </w:r>
              </w:p>
              <w:p w14:paraId="4DDE03EE" w14:textId="77777777" w:rsidR="004959C4" w:rsidRPr="000E4B8E" w:rsidRDefault="004959C4" w:rsidP="004959C4">
                <w:pPr>
                  <w:rPr>
                    <w:i/>
                  </w:rPr>
                </w:pPr>
                <w:proofErr w:type="spellStart"/>
                <w:r w:rsidRPr="000E4B8E">
                  <w:rPr>
                    <w:i/>
                  </w:rPr>
                  <w:t>Ravvedimento</w:t>
                </w:r>
                <w:proofErr w:type="spellEnd"/>
                <w:r>
                  <w:t xml:space="preserve">, </w:t>
                </w:r>
                <w:r w:rsidRPr="000E4B8E">
                  <w:t xml:space="preserve">cello, 4 guitars </w:t>
                </w:r>
                <w:r w:rsidR="008E766C">
                  <w:t>(</w:t>
                </w:r>
                <w:r w:rsidRPr="000E4B8E">
                  <w:t>2007</w:t>
                </w:r>
                <w:r w:rsidR="008E766C">
                  <w:t>)</w:t>
                </w:r>
              </w:p>
              <w:p w14:paraId="5949A26B" w14:textId="77777777" w:rsidR="004959C4" w:rsidRPr="000E4B8E" w:rsidRDefault="004959C4" w:rsidP="004959C4">
                <w:r w:rsidRPr="000E4B8E">
                  <w:rPr>
                    <w:i/>
                  </w:rPr>
                  <w:t>Glorious Percussion</w:t>
                </w:r>
                <w:r>
                  <w:t>,</w:t>
                </w:r>
                <w:r w:rsidRPr="000E4B8E">
                  <w:t xml:space="preserve"> percussion and orchestra </w:t>
                </w:r>
                <w:r w:rsidR="008E766C">
                  <w:t>(</w:t>
                </w:r>
                <w:r w:rsidRPr="000E4B8E">
                  <w:t>2008</w:t>
                </w:r>
                <w:r w:rsidR="008E766C">
                  <w:t>)</w:t>
                </w:r>
              </w:p>
              <w:p w14:paraId="78E8BE5B" w14:textId="77777777" w:rsidR="004959C4" w:rsidRPr="000E4B8E" w:rsidRDefault="004959C4" w:rsidP="004959C4">
                <w:proofErr w:type="spellStart"/>
                <w:r w:rsidRPr="000E4B8E">
                  <w:rPr>
                    <w:i/>
                  </w:rPr>
                  <w:t>Fachwerk</w:t>
                </w:r>
                <w:proofErr w:type="spellEnd"/>
                <w:r>
                  <w:t>,</w:t>
                </w:r>
                <w:r w:rsidRPr="000E4B8E">
                  <w:t xml:space="preserve"> </w:t>
                </w:r>
                <w:proofErr w:type="spellStart"/>
                <w:r w:rsidRPr="000E4B8E">
                  <w:t>bayan</w:t>
                </w:r>
                <w:proofErr w:type="spellEnd"/>
                <w:r w:rsidRPr="000E4B8E">
                  <w:t xml:space="preserve">, percussion and strings </w:t>
                </w:r>
                <w:r w:rsidR="008E766C">
                  <w:t>(</w:t>
                </w:r>
                <w:r w:rsidRPr="000E4B8E">
                  <w:t>2009</w:t>
                </w:r>
                <w:r w:rsidR="008E766C">
                  <w:t>)</w:t>
                </w:r>
              </w:p>
              <w:p w14:paraId="13DBA0F2" w14:textId="77777777" w:rsidR="003F0D73" w:rsidRDefault="004959C4" w:rsidP="00C27FAB">
                <w:r w:rsidRPr="000E4B8E">
                  <w:rPr>
                    <w:i/>
                  </w:rPr>
                  <w:t>Labyrinth</w:t>
                </w:r>
                <w:r>
                  <w:t>, 12 cellos</w:t>
                </w:r>
                <w:r w:rsidRPr="000E4B8E">
                  <w:t xml:space="preserve"> </w:t>
                </w:r>
                <w:r w:rsidR="008E766C">
                  <w:t>(</w:t>
                </w:r>
                <w:r w:rsidRPr="000E4B8E">
                  <w:t>2011</w:t>
                </w:r>
                <w:r w:rsidR="008E766C">
                  <w:t>)</w:t>
                </w:r>
              </w:p>
            </w:tc>
          </w:sdtContent>
        </w:sdt>
      </w:tr>
      <w:tr w:rsidR="003235A7" w14:paraId="048A75D1" w14:textId="77777777" w:rsidTr="003235A7">
        <w:tc>
          <w:tcPr>
            <w:tcW w:w="9016" w:type="dxa"/>
          </w:tcPr>
          <w:p w14:paraId="60B7FF9D" w14:textId="77777777" w:rsidR="003235A7" w:rsidRDefault="003235A7" w:rsidP="008A5B87">
            <w:r w:rsidRPr="0015114C">
              <w:rPr>
                <w:u w:val="single"/>
              </w:rPr>
              <w:lastRenderedPageBreak/>
              <w:t>Further reading</w:t>
            </w:r>
            <w:r>
              <w:t>:</w:t>
            </w:r>
          </w:p>
          <w:p w14:paraId="167D1CAF" w14:textId="77777777" w:rsidR="008E4A67" w:rsidRDefault="008E4A67" w:rsidP="008E4A67">
            <w:pPr>
              <w:rPr>
                <w:color w:val="000000"/>
              </w:rPr>
            </w:pPr>
            <w:sdt>
              <w:sdtPr>
                <w:rPr>
                  <w:color w:val="000000"/>
                </w:rPr>
                <w:id w:val="-698466218"/>
                <w:citation/>
              </w:sdtPr>
              <w:sdtContent>
                <w:r>
                  <w:rPr>
                    <w:color w:val="000000"/>
                  </w:rPr>
                  <w:fldChar w:fldCharType="begin"/>
                </w:r>
                <w:r>
                  <w:rPr>
                    <w:color w:val="000000"/>
                    <w:lang w:val="en-US"/>
                  </w:rPr>
                  <w:instrText xml:space="preserve"> CITATION Dam99 \l 1033 </w:instrText>
                </w:r>
                <w:r>
                  <w:rPr>
                    <w:color w:val="000000"/>
                  </w:rPr>
                  <w:fldChar w:fldCharType="separate"/>
                </w:r>
                <w:r w:rsidRPr="008E4A67">
                  <w:rPr>
                    <w:noProof/>
                    <w:color w:val="000000"/>
                    <w:lang w:val="en-US"/>
                  </w:rPr>
                  <w:t>(Damaris Neary)</w:t>
                </w:r>
                <w:r>
                  <w:rPr>
                    <w:color w:val="000000"/>
                  </w:rPr>
                  <w:fldChar w:fldCharType="end"/>
                </w:r>
              </w:sdtContent>
            </w:sdt>
          </w:p>
          <w:p w14:paraId="3B0A5574" w14:textId="77777777" w:rsidR="008E4A67" w:rsidRDefault="008E4A67" w:rsidP="008A5B87"/>
          <w:sdt>
            <w:sdtPr>
              <w:alias w:val="Further reading"/>
              <w:tag w:val="furtherReading"/>
              <w:id w:val="-1516217107"/>
              <w:placeholder>
                <w:docPart w:val="041ADB5EDCC8C848954F17669C3D06E2"/>
              </w:placeholder>
            </w:sdtPr>
            <w:sdtContent>
              <w:p w14:paraId="69EBD12D" w14:textId="4F69649F" w:rsidR="004959C4" w:rsidRDefault="00954871" w:rsidP="004959C4">
                <w:sdt>
                  <w:sdtPr>
                    <w:id w:val="2082485327"/>
                    <w:citation/>
                  </w:sdtPr>
                  <w:sdtContent>
                    <w:r>
                      <w:fldChar w:fldCharType="begin"/>
                    </w:r>
                    <w:r>
                      <w:rPr>
                        <w:lang w:val="en-US"/>
                      </w:rPr>
                      <w:instrText xml:space="preserve"> CITATION Jac97 \l 1033 </w:instrText>
                    </w:r>
                    <w:r>
                      <w:fldChar w:fldCharType="separate"/>
                    </w:r>
                    <w:r>
                      <w:rPr>
                        <w:noProof/>
                        <w:lang w:val="en-US"/>
                      </w:rPr>
                      <w:t xml:space="preserve"> (Jacobsen)</w:t>
                    </w:r>
                    <w:r>
                      <w:fldChar w:fldCharType="end"/>
                    </w:r>
                  </w:sdtContent>
                </w:sdt>
              </w:p>
              <w:p w14:paraId="7CA47514" w14:textId="77777777" w:rsidR="00954871" w:rsidRPr="000E4B8E" w:rsidRDefault="00954871" w:rsidP="004959C4"/>
              <w:p w14:paraId="12354F0D" w14:textId="7FED2572" w:rsidR="004959C4" w:rsidRDefault="00954871" w:rsidP="004959C4">
                <w:sdt>
                  <w:sdtPr>
                    <w:id w:val="-797681586"/>
                    <w:citation/>
                  </w:sdtPr>
                  <w:sdtContent>
                    <w:r>
                      <w:fldChar w:fldCharType="begin"/>
                    </w:r>
                    <w:r>
                      <w:rPr>
                        <w:lang w:val="en-US"/>
                      </w:rPr>
                      <w:instrText xml:space="preserve"> CITATION Kur07 \l 1033 </w:instrText>
                    </w:r>
                    <w:r>
                      <w:fldChar w:fldCharType="separate"/>
                    </w:r>
                    <w:r>
                      <w:rPr>
                        <w:noProof/>
                        <w:lang w:val="en-US"/>
                      </w:rPr>
                      <w:t>(Kurtz)</w:t>
                    </w:r>
                    <w:r>
                      <w:fldChar w:fldCharType="end"/>
                    </w:r>
                  </w:sdtContent>
                </w:sdt>
              </w:p>
              <w:p w14:paraId="3D94A1F2" w14:textId="77777777" w:rsidR="00954871" w:rsidRPr="000E4B8E" w:rsidRDefault="00954871" w:rsidP="004959C4"/>
              <w:p w14:paraId="37D0A1D1" w14:textId="3519ABBE" w:rsidR="004959C4" w:rsidRDefault="00954871" w:rsidP="004959C4">
                <w:sdt>
                  <w:sdtPr>
                    <w:id w:val="1525208043"/>
                    <w:citation/>
                  </w:sdtPr>
                  <w:sdtContent>
                    <w:r>
                      <w:fldChar w:fldCharType="begin"/>
                    </w:r>
                    <w:r>
                      <w:rPr>
                        <w:rFonts w:cs="Tahoma"/>
                        <w:lang w:val="en-US"/>
                      </w:rPr>
                      <w:instrText xml:space="preserve"> CITATION Lem94 \l 1033 </w:instrText>
                    </w:r>
                    <w:r>
                      <w:fldChar w:fldCharType="separate"/>
                    </w:r>
                    <w:r w:rsidRPr="00954871">
                      <w:rPr>
                        <w:rFonts w:cs="Tahoma"/>
                        <w:noProof/>
                        <w:lang w:val="en-US"/>
                      </w:rPr>
                      <w:t>(Lemaire)</w:t>
                    </w:r>
                    <w:r>
                      <w:fldChar w:fldCharType="end"/>
                    </w:r>
                  </w:sdtContent>
                </w:sdt>
              </w:p>
              <w:p w14:paraId="2445B323" w14:textId="77777777" w:rsidR="008E4A67" w:rsidRPr="000E4B8E" w:rsidRDefault="008E4A67" w:rsidP="004959C4"/>
              <w:p w14:paraId="7F0A127A" w14:textId="147538ED" w:rsidR="004959C4" w:rsidRDefault="00954871" w:rsidP="004959C4">
                <w:pPr>
                  <w:tabs>
                    <w:tab w:val="left" w:pos="720"/>
                  </w:tabs>
                  <w:rPr>
                    <w:rFonts w:cs="Tahoma"/>
                    <w:lang/>
                  </w:rPr>
                </w:pPr>
                <w:sdt>
                  <w:sdtPr>
                    <w:rPr>
                      <w:rFonts w:cs="Tahoma"/>
                      <w:lang/>
                    </w:rPr>
                    <w:id w:val="1667514363"/>
                    <w:citation/>
                  </w:sdtPr>
                  <w:sdtContent>
                    <w:r>
                      <w:rPr>
                        <w:rFonts w:cs="Tahoma"/>
                        <w:lang/>
                      </w:rPr>
                      <w:fldChar w:fldCharType="begin"/>
                    </w:r>
                    <w:r>
                      <w:rPr>
                        <w:lang w:val="en-US"/>
                      </w:rPr>
                      <w:instrText xml:space="preserve"> CITATION Ver98 \l 1033 </w:instrText>
                    </w:r>
                    <w:r>
                      <w:rPr>
                        <w:rFonts w:cs="Tahoma"/>
                        <w:lang/>
                      </w:rPr>
                      <w:fldChar w:fldCharType="separate"/>
                    </w:r>
                    <w:r>
                      <w:rPr>
                        <w:noProof/>
                        <w:lang w:val="en-US"/>
                      </w:rPr>
                      <w:t>(Lukomsky)</w:t>
                    </w:r>
                    <w:r>
                      <w:rPr>
                        <w:rFonts w:cs="Tahoma"/>
                        <w:lang/>
                      </w:rPr>
                      <w:fldChar w:fldCharType="end"/>
                    </w:r>
                  </w:sdtContent>
                </w:sdt>
              </w:p>
              <w:p w14:paraId="5C90B9C4" w14:textId="77777777" w:rsidR="008E4A67" w:rsidRPr="000E4B8E" w:rsidRDefault="008E4A67" w:rsidP="004959C4">
                <w:pPr>
                  <w:tabs>
                    <w:tab w:val="left" w:pos="720"/>
                  </w:tabs>
                  <w:rPr>
                    <w:rFonts w:cs="Tahoma"/>
                    <w:lang/>
                  </w:rPr>
                </w:pPr>
              </w:p>
              <w:p w14:paraId="37DB9F5B" w14:textId="3E41E969" w:rsidR="004959C4" w:rsidRDefault="008E4A67" w:rsidP="004959C4">
                <w:pPr>
                  <w:tabs>
                    <w:tab w:val="left" w:pos="720"/>
                  </w:tabs>
                  <w:rPr>
                    <w:rFonts w:cs="Tahoma"/>
                    <w:lang/>
                  </w:rPr>
                </w:pPr>
                <w:sdt>
                  <w:sdtPr>
                    <w:rPr>
                      <w:rFonts w:cs="Tahoma"/>
                      <w:lang/>
                    </w:rPr>
                    <w:id w:val="-1767610984"/>
                    <w:citation/>
                  </w:sdtPr>
                  <w:sdtContent>
                    <w:r>
                      <w:rPr>
                        <w:rFonts w:cs="Tahoma"/>
                        <w:lang/>
                      </w:rPr>
                      <w:fldChar w:fldCharType="begin"/>
                    </w:r>
                    <w:r>
                      <w:rPr>
                        <w:lang w:val="en-US"/>
                      </w:rPr>
                      <w:instrText xml:space="preserve"> CITATION McB98 \l 1033 </w:instrText>
                    </w:r>
                    <w:r>
                      <w:rPr>
                        <w:rFonts w:cs="Tahoma"/>
                        <w:lang/>
                      </w:rPr>
                      <w:fldChar w:fldCharType="separate"/>
                    </w:r>
                    <w:r>
                      <w:rPr>
                        <w:noProof/>
                        <w:lang w:val="en-US"/>
                      </w:rPr>
                      <w:t>(McBurney)</w:t>
                    </w:r>
                    <w:r>
                      <w:rPr>
                        <w:rFonts w:cs="Tahoma"/>
                        <w:lang/>
                      </w:rPr>
                      <w:fldChar w:fldCharType="end"/>
                    </w:r>
                  </w:sdtContent>
                </w:sdt>
              </w:p>
              <w:p w14:paraId="1EF2A3B2" w14:textId="77777777" w:rsidR="008E4A67" w:rsidRPr="000E4B8E" w:rsidRDefault="008E4A67" w:rsidP="004959C4">
                <w:pPr>
                  <w:tabs>
                    <w:tab w:val="left" w:pos="720"/>
                  </w:tabs>
                  <w:rPr>
                    <w:rFonts w:cs="Tahoma"/>
                    <w:lang/>
                  </w:rPr>
                </w:pPr>
              </w:p>
              <w:p w14:paraId="02FACCE1" w14:textId="55C01CE1" w:rsidR="004959C4" w:rsidRDefault="008E4A67" w:rsidP="004959C4">
                <w:pPr>
                  <w:tabs>
                    <w:tab w:val="left" w:pos="720"/>
                  </w:tabs>
                  <w:rPr>
                    <w:rFonts w:cs="Tahoma"/>
                    <w:lang/>
                  </w:rPr>
                </w:pPr>
                <w:sdt>
                  <w:sdtPr>
                    <w:rPr>
                      <w:rFonts w:cs="Tahoma"/>
                      <w:lang/>
                    </w:rPr>
                    <w:id w:val="-1801443513"/>
                    <w:citation/>
                  </w:sdtPr>
                  <w:sdtContent>
                    <w:r>
                      <w:rPr>
                        <w:rFonts w:cs="Tahoma"/>
                        <w:lang/>
                      </w:rPr>
                      <w:fldChar w:fldCharType="begin"/>
                    </w:r>
                    <w:r>
                      <w:rPr>
                        <w:rFonts w:cs="Tahoma"/>
                        <w:lang w:val="en-US"/>
                      </w:rPr>
                      <w:instrText xml:space="preserve"> CITATION Moo12 \l 1033 </w:instrText>
                    </w:r>
                    <w:r>
                      <w:rPr>
                        <w:rFonts w:cs="Tahoma"/>
                        <w:lang/>
                      </w:rPr>
                      <w:fldChar w:fldCharType="separate"/>
                    </w:r>
                    <w:r w:rsidRPr="008E4A67">
                      <w:rPr>
                        <w:rFonts w:cs="Tahoma"/>
                        <w:noProof/>
                        <w:lang w:val="en-US"/>
                      </w:rPr>
                      <w:t>(Moody)</w:t>
                    </w:r>
                    <w:r>
                      <w:rPr>
                        <w:rFonts w:cs="Tahoma"/>
                        <w:lang/>
                      </w:rPr>
                      <w:fldChar w:fldCharType="end"/>
                    </w:r>
                  </w:sdtContent>
                </w:sdt>
              </w:p>
              <w:p w14:paraId="6650188A" w14:textId="77777777" w:rsidR="008E4A67" w:rsidRPr="000E4B8E" w:rsidRDefault="008E4A67" w:rsidP="004959C4">
                <w:pPr>
                  <w:tabs>
                    <w:tab w:val="left" w:pos="720"/>
                  </w:tabs>
                  <w:rPr>
                    <w:rFonts w:cs="Tahoma"/>
                    <w:lang/>
                  </w:rPr>
                </w:pPr>
              </w:p>
              <w:p w14:paraId="6A927514" w14:textId="77777777" w:rsidR="004959C4" w:rsidRPr="000E4B8E" w:rsidRDefault="004959C4" w:rsidP="004959C4">
                <w:pPr>
                  <w:rPr>
                    <w:lang/>
                  </w:rPr>
                </w:pPr>
                <w:r w:rsidRPr="008E4A67">
                  <w:rPr>
                    <w:rFonts w:cs="Tahoma"/>
                    <w:highlight w:val="yellow"/>
                    <w:lang/>
                  </w:rPr>
                  <w:t xml:space="preserve">Moody, I. (2013) </w:t>
                </w:r>
                <w:r w:rsidRPr="008E4A67">
                  <w:rPr>
                    <w:highlight w:val="yellow"/>
                    <w:lang/>
                  </w:rPr>
                  <w:t xml:space="preserve">‘In Time and Out of Time: Theology in Sofia </w:t>
                </w:r>
                <w:proofErr w:type="spellStart"/>
                <w:r w:rsidRPr="008E4A67">
                  <w:rPr>
                    <w:highlight w:val="yellow"/>
                    <w:lang/>
                  </w:rPr>
                  <w:t>Gubaidulina's</w:t>
                </w:r>
                <w:proofErr w:type="spellEnd"/>
                <w:r w:rsidRPr="008E4A67">
                  <w:rPr>
                    <w:highlight w:val="yellow"/>
                    <w:lang/>
                  </w:rPr>
                  <w:t xml:space="preserve"> </w:t>
                </w:r>
                <w:r w:rsidRPr="008E4A67">
                  <w:rPr>
                    <w:i/>
                    <w:highlight w:val="yellow"/>
                    <w:lang/>
                  </w:rPr>
                  <w:t>St John Passion and St John Easter</w:t>
                </w:r>
                <w:r w:rsidRPr="008E4A67">
                  <w:rPr>
                    <w:highlight w:val="yellow"/>
                    <w:lang/>
                  </w:rPr>
                  <w:t xml:space="preserve">’, Proceedings of the Fourth International Conference on Orthodox Liturgical Music, </w:t>
                </w:r>
                <w:proofErr w:type="spellStart"/>
                <w:r w:rsidRPr="008E4A67">
                  <w:rPr>
                    <w:highlight w:val="yellow"/>
                    <w:lang/>
                  </w:rPr>
                  <w:t>Joensuu</w:t>
                </w:r>
                <w:proofErr w:type="spellEnd"/>
                <w:r w:rsidRPr="008E4A67">
                  <w:rPr>
                    <w:highlight w:val="yellow"/>
                    <w:lang/>
                  </w:rPr>
                  <w:t>, Finland, forthcoming</w:t>
                </w:r>
                <w:r w:rsidRPr="000E4B8E">
                  <w:rPr>
                    <w:lang/>
                  </w:rPr>
                  <w:t xml:space="preserve"> </w:t>
                </w:r>
              </w:p>
              <w:p w14:paraId="61B53E2D" w14:textId="77777777" w:rsidR="008E4A67" w:rsidRPr="000E4B8E" w:rsidRDefault="008E4A67" w:rsidP="004959C4">
                <w:pPr>
                  <w:rPr>
                    <w:color w:val="000000"/>
                  </w:rPr>
                </w:pPr>
                <w:bookmarkStart w:id="0" w:name="_GoBack"/>
                <w:bookmarkEnd w:id="0"/>
              </w:p>
              <w:p w14:paraId="3B2138BD" w14:textId="7CF4F321" w:rsidR="003235A7" w:rsidRDefault="008E4A67" w:rsidP="004959C4">
                <w:sdt>
                  <w:sdtPr>
                    <w:id w:val="-68577339"/>
                    <w:citation/>
                  </w:sdtPr>
                  <w:sdtContent>
                    <w:r>
                      <w:fldChar w:fldCharType="begin"/>
                    </w:r>
                    <w:r>
                      <w:rPr>
                        <w:lang w:val="en-US"/>
                      </w:rPr>
                      <w:instrText xml:space="preserve"> CITATION Res91 \l 1033 </w:instrText>
                    </w:r>
                    <w:r>
                      <w:fldChar w:fldCharType="separate"/>
                    </w:r>
                    <w:r>
                      <w:rPr>
                        <w:noProof/>
                        <w:lang w:val="en-US"/>
                      </w:rPr>
                      <w:t>(Restagno)</w:t>
                    </w:r>
                    <w:r>
                      <w:fldChar w:fldCharType="end"/>
                    </w:r>
                  </w:sdtContent>
                </w:sdt>
              </w:p>
            </w:sdtContent>
          </w:sdt>
        </w:tc>
      </w:tr>
    </w:tbl>
    <w:p w14:paraId="4ED68D85"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9EDA79" w14:textId="77777777" w:rsidR="00954871" w:rsidRDefault="00954871" w:rsidP="007A0D55">
      <w:pPr>
        <w:spacing w:after="0" w:line="240" w:lineRule="auto"/>
      </w:pPr>
      <w:r>
        <w:separator/>
      </w:r>
    </w:p>
  </w:endnote>
  <w:endnote w:type="continuationSeparator" w:id="0">
    <w:p w14:paraId="1257086C" w14:textId="77777777" w:rsidR="00954871" w:rsidRDefault="0095487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0002CE" w14:textId="77777777" w:rsidR="00954871" w:rsidRDefault="00954871" w:rsidP="007A0D55">
      <w:pPr>
        <w:spacing w:after="0" w:line="240" w:lineRule="auto"/>
      </w:pPr>
      <w:r>
        <w:separator/>
      </w:r>
    </w:p>
  </w:footnote>
  <w:footnote w:type="continuationSeparator" w:id="0">
    <w:p w14:paraId="4D9516E0" w14:textId="77777777" w:rsidR="00954871" w:rsidRDefault="0095487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354E55" w14:textId="77777777" w:rsidR="00954871" w:rsidRDefault="0095487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50B0F09" w14:textId="77777777" w:rsidR="00954871" w:rsidRDefault="0095487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9C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59C4"/>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E4A67"/>
    <w:rsid w:val="008E766C"/>
    <w:rsid w:val="00922950"/>
    <w:rsid w:val="00954871"/>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3EE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959C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59C4"/>
    <w:rPr>
      <w:rFonts w:ascii="Lucida Grande" w:hAnsi="Lucida Grande" w:cs="Lucida Grande"/>
      <w:sz w:val="18"/>
      <w:szCs w:val="18"/>
    </w:rPr>
  </w:style>
  <w:style w:type="paragraph" w:styleId="NormalWeb">
    <w:name w:val="Normal (Web)"/>
    <w:basedOn w:val="Normal"/>
    <w:uiPriority w:val="99"/>
    <w:unhideWhenUsed/>
    <w:rsid w:val="004959C4"/>
    <w:pPr>
      <w:spacing w:before="100" w:beforeAutospacing="1" w:after="100" w:afterAutospacing="1" w:line="240" w:lineRule="auto"/>
    </w:pPr>
    <w:rPr>
      <w:rFonts w:ascii="Times" w:eastAsia="ＭＳ 明朝"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959C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59C4"/>
    <w:rPr>
      <w:rFonts w:ascii="Lucida Grande" w:hAnsi="Lucida Grande" w:cs="Lucida Grande"/>
      <w:sz w:val="18"/>
      <w:szCs w:val="18"/>
    </w:rPr>
  </w:style>
  <w:style w:type="paragraph" w:styleId="NormalWeb">
    <w:name w:val="Normal (Web)"/>
    <w:basedOn w:val="Normal"/>
    <w:uiPriority w:val="99"/>
    <w:unhideWhenUsed/>
    <w:rsid w:val="004959C4"/>
    <w:pPr>
      <w:spacing w:before="100" w:beforeAutospacing="1" w:after="100" w:afterAutospacing="1" w:line="240" w:lineRule="auto"/>
    </w:pPr>
    <w:rPr>
      <w:rFonts w:ascii="Times" w:eastAsia="ＭＳ 明朝"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russia.rin.ru/guides_e/6601.html" TargetMode="External"/><Relationship Id="rId10" Type="http://schemas.openxmlformats.org/officeDocument/2006/relationships/hyperlink" Target="http://en.wikipedia.org/wiki/Bayan_(accord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AB6FAC089ABA47A608155717E678E5"/>
        <w:category>
          <w:name w:val="General"/>
          <w:gallery w:val="placeholder"/>
        </w:category>
        <w:types>
          <w:type w:val="bbPlcHdr"/>
        </w:types>
        <w:behaviors>
          <w:behavior w:val="content"/>
        </w:behaviors>
        <w:guid w:val="{5C2BC200-0E13-AD4A-AF0D-BAF3D81703B4}"/>
      </w:docPartPr>
      <w:docPartBody>
        <w:p w:rsidR="00000000" w:rsidRDefault="004E117A">
          <w:pPr>
            <w:pStyle w:val="11AB6FAC089ABA47A608155717E678E5"/>
          </w:pPr>
          <w:r w:rsidRPr="00CC586D">
            <w:rPr>
              <w:rStyle w:val="PlaceholderText"/>
              <w:b/>
              <w:color w:val="FFFFFF" w:themeColor="background1"/>
            </w:rPr>
            <w:t>[Salutation]</w:t>
          </w:r>
        </w:p>
      </w:docPartBody>
    </w:docPart>
    <w:docPart>
      <w:docPartPr>
        <w:name w:val="DF0ACEC52E42CC40B583B9642ACD36ED"/>
        <w:category>
          <w:name w:val="General"/>
          <w:gallery w:val="placeholder"/>
        </w:category>
        <w:types>
          <w:type w:val="bbPlcHdr"/>
        </w:types>
        <w:behaviors>
          <w:behavior w:val="content"/>
        </w:behaviors>
        <w:guid w:val="{B5C12536-7D4F-F84B-9D40-294E7B209E1D}"/>
      </w:docPartPr>
      <w:docPartBody>
        <w:p w:rsidR="00000000" w:rsidRDefault="004E117A">
          <w:pPr>
            <w:pStyle w:val="DF0ACEC52E42CC40B583B9642ACD36ED"/>
          </w:pPr>
          <w:r>
            <w:rPr>
              <w:rStyle w:val="PlaceholderText"/>
            </w:rPr>
            <w:t>[First name]</w:t>
          </w:r>
        </w:p>
      </w:docPartBody>
    </w:docPart>
    <w:docPart>
      <w:docPartPr>
        <w:name w:val="241A9A5068A70A4FB0BAE64BD30F4330"/>
        <w:category>
          <w:name w:val="General"/>
          <w:gallery w:val="placeholder"/>
        </w:category>
        <w:types>
          <w:type w:val="bbPlcHdr"/>
        </w:types>
        <w:behaviors>
          <w:behavior w:val="content"/>
        </w:behaviors>
        <w:guid w:val="{E011DBBC-DB72-194C-8E21-1847350B747E}"/>
      </w:docPartPr>
      <w:docPartBody>
        <w:p w:rsidR="00000000" w:rsidRDefault="004E117A">
          <w:pPr>
            <w:pStyle w:val="241A9A5068A70A4FB0BAE64BD30F4330"/>
          </w:pPr>
          <w:r>
            <w:rPr>
              <w:rStyle w:val="PlaceholderText"/>
            </w:rPr>
            <w:t>[Middle name]</w:t>
          </w:r>
        </w:p>
      </w:docPartBody>
    </w:docPart>
    <w:docPart>
      <w:docPartPr>
        <w:name w:val="1F06E4567C90CF408805C0E9C792988B"/>
        <w:category>
          <w:name w:val="General"/>
          <w:gallery w:val="placeholder"/>
        </w:category>
        <w:types>
          <w:type w:val="bbPlcHdr"/>
        </w:types>
        <w:behaviors>
          <w:behavior w:val="content"/>
        </w:behaviors>
        <w:guid w:val="{63612840-64A2-F54E-BBB3-C01BB0657589}"/>
      </w:docPartPr>
      <w:docPartBody>
        <w:p w:rsidR="00000000" w:rsidRDefault="004E117A">
          <w:pPr>
            <w:pStyle w:val="1F06E4567C90CF408805C0E9C792988B"/>
          </w:pPr>
          <w:r>
            <w:rPr>
              <w:rStyle w:val="PlaceholderText"/>
            </w:rPr>
            <w:t>[Last name]</w:t>
          </w:r>
        </w:p>
      </w:docPartBody>
    </w:docPart>
    <w:docPart>
      <w:docPartPr>
        <w:name w:val="126B7006832FF241B251C95B4606FD1D"/>
        <w:category>
          <w:name w:val="General"/>
          <w:gallery w:val="placeholder"/>
        </w:category>
        <w:types>
          <w:type w:val="bbPlcHdr"/>
        </w:types>
        <w:behaviors>
          <w:behavior w:val="content"/>
        </w:behaviors>
        <w:guid w:val="{1451A137-AD48-6B42-BAEB-EAD1F8BC13F2}"/>
      </w:docPartPr>
      <w:docPartBody>
        <w:p w:rsidR="00000000" w:rsidRDefault="004E117A">
          <w:pPr>
            <w:pStyle w:val="126B7006832FF241B251C95B4606FD1D"/>
          </w:pPr>
          <w:r>
            <w:rPr>
              <w:rStyle w:val="PlaceholderText"/>
            </w:rPr>
            <w:t>[Enter your biography]</w:t>
          </w:r>
        </w:p>
      </w:docPartBody>
    </w:docPart>
    <w:docPart>
      <w:docPartPr>
        <w:name w:val="997E0ABF0D9C7949AB44A7F3B9869A3E"/>
        <w:category>
          <w:name w:val="General"/>
          <w:gallery w:val="placeholder"/>
        </w:category>
        <w:types>
          <w:type w:val="bbPlcHdr"/>
        </w:types>
        <w:behaviors>
          <w:behavior w:val="content"/>
        </w:behaviors>
        <w:guid w:val="{AB3D0781-E8CF-414F-A0E2-B343805CC6AA}"/>
      </w:docPartPr>
      <w:docPartBody>
        <w:p w:rsidR="00000000" w:rsidRDefault="004E117A">
          <w:pPr>
            <w:pStyle w:val="997E0ABF0D9C7949AB44A7F3B9869A3E"/>
          </w:pPr>
          <w:r>
            <w:rPr>
              <w:rStyle w:val="PlaceholderText"/>
            </w:rPr>
            <w:t>[Enter the institution with which you are affiliated]</w:t>
          </w:r>
        </w:p>
      </w:docPartBody>
    </w:docPart>
    <w:docPart>
      <w:docPartPr>
        <w:name w:val="EA6499EF5A509449B13B8A7EE3752320"/>
        <w:category>
          <w:name w:val="General"/>
          <w:gallery w:val="placeholder"/>
        </w:category>
        <w:types>
          <w:type w:val="bbPlcHdr"/>
        </w:types>
        <w:behaviors>
          <w:behavior w:val="content"/>
        </w:behaviors>
        <w:guid w:val="{2C86EFF7-4A0A-1943-BB65-9EBDA494A2BF}"/>
      </w:docPartPr>
      <w:docPartBody>
        <w:p w:rsidR="00000000" w:rsidRDefault="004E117A">
          <w:pPr>
            <w:pStyle w:val="EA6499EF5A509449B13B8A7EE3752320"/>
          </w:pPr>
          <w:r w:rsidRPr="00EF74F7">
            <w:rPr>
              <w:b/>
              <w:color w:val="808080" w:themeColor="background1" w:themeShade="80"/>
            </w:rPr>
            <w:t>[Enter the headword for your article]</w:t>
          </w:r>
        </w:p>
      </w:docPartBody>
    </w:docPart>
    <w:docPart>
      <w:docPartPr>
        <w:name w:val="63DF644C8DD5AC4FACC0367720065F2A"/>
        <w:category>
          <w:name w:val="General"/>
          <w:gallery w:val="placeholder"/>
        </w:category>
        <w:types>
          <w:type w:val="bbPlcHdr"/>
        </w:types>
        <w:behaviors>
          <w:behavior w:val="content"/>
        </w:behaviors>
        <w:guid w:val="{6D7CCA5F-6B5C-3145-8C7E-913ABA523A0A}"/>
      </w:docPartPr>
      <w:docPartBody>
        <w:p w:rsidR="00000000" w:rsidRDefault="004E117A">
          <w:pPr>
            <w:pStyle w:val="63DF644C8DD5AC4FACC0367720065F2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9F6A0E706CD8E48B0712A7A9847D8E8"/>
        <w:category>
          <w:name w:val="General"/>
          <w:gallery w:val="placeholder"/>
        </w:category>
        <w:types>
          <w:type w:val="bbPlcHdr"/>
        </w:types>
        <w:behaviors>
          <w:behavior w:val="content"/>
        </w:behaviors>
        <w:guid w:val="{5039F83C-C0D9-7A48-A04E-29882FB3F333}"/>
      </w:docPartPr>
      <w:docPartBody>
        <w:p w:rsidR="00000000" w:rsidRDefault="004E117A">
          <w:pPr>
            <w:pStyle w:val="89F6A0E706CD8E48B0712A7A9847D8E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6B6D2904178E545AC3BFDA9B2F95EC4"/>
        <w:category>
          <w:name w:val="General"/>
          <w:gallery w:val="placeholder"/>
        </w:category>
        <w:types>
          <w:type w:val="bbPlcHdr"/>
        </w:types>
        <w:behaviors>
          <w:behavior w:val="content"/>
        </w:behaviors>
        <w:guid w:val="{8F3CCDA4-4EB2-7F44-8D8C-FD356D10688B}"/>
      </w:docPartPr>
      <w:docPartBody>
        <w:p w:rsidR="00000000" w:rsidRDefault="004E117A">
          <w:pPr>
            <w:pStyle w:val="96B6D2904178E545AC3BFDA9B2F95EC4"/>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1AB6FAC089ABA47A608155717E678E5">
    <w:name w:val="11AB6FAC089ABA47A608155717E678E5"/>
  </w:style>
  <w:style w:type="paragraph" w:customStyle="1" w:styleId="DF0ACEC52E42CC40B583B9642ACD36ED">
    <w:name w:val="DF0ACEC52E42CC40B583B9642ACD36ED"/>
  </w:style>
  <w:style w:type="paragraph" w:customStyle="1" w:styleId="241A9A5068A70A4FB0BAE64BD30F4330">
    <w:name w:val="241A9A5068A70A4FB0BAE64BD30F4330"/>
  </w:style>
  <w:style w:type="paragraph" w:customStyle="1" w:styleId="1F06E4567C90CF408805C0E9C792988B">
    <w:name w:val="1F06E4567C90CF408805C0E9C792988B"/>
  </w:style>
  <w:style w:type="paragraph" w:customStyle="1" w:styleId="126B7006832FF241B251C95B4606FD1D">
    <w:name w:val="126B7006832FF241B251C95B4606FD1D"/>
  </w:style>
  <w:style w:type="paragraph" w:customStyle="1" w:styleId="997E0ABF0D9C7949AB44A7F3B9869A3E">
    <w:name w:val="997E0ABF0D9C7949AB44A7F3B9869A3E"/>
  </w:style>
  <w:style w:type="paragraph" w:customStyle="1" w:styleId="EA6499EF5A509449B13B8A7EE3752320">
    <w:name w:val="EA6499EF5A509449B13B8A7EE3752320"/>
  </w:style>
  <w:style w:type="paragraph" w:customStyle="1" w:styleId="63DF644C8DD5AC4FACC0367720065F2A">
    <w:name w:val="63DF644C8DD5AC4FACC0367720065F2A"/>
  </w:style>
  <w:style w:type="paragraph" w:customStyle="1" w:styleId="89F6A0E706CD8E48B0712A7A9847D8E8">
    <w:name w:val="89F6A0E706CD8E48B0712A7A9847D8E8"/>
  </w:style>
  <w:style w:type="paragraph" w:customStyle="1" w:styleId="96B6D2904178E545AC3BFDA9B2F95EC4">
    <w:name w:val="96B6D2904178E545AC3BFDA9B2F95EC4"/>
  </w:style>
  <w:style w:type="paragraph" w:customStyle="1" w:styleId="041ADB5EDCC8C848954F17669C3D06E2">
    <w:name w:val="041ADB5EDCC8C848954F17669C3D06E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1AB6FAC089ABA47A608155717E678E5">
    <w:name w:val="11AB6FAC089ABA47A608155717E678E5"/>
  </w:style>
  <w:style w:type="paragraph" w:customStyle="1" w:styleId="DF0ACEC52E42CC40B583B9642ACD36ED">
    <w:name w:val="DF0ACEC52E42CC40B583B9642ACD36ED"/>
  </w:style>
  <w:style w:type="paragraph" w:customStyle="1" w:styleId="241A9A5068A70A4FB0BAE64BD30F4330">
    <w:name w:val="241A9A5068A70A4FB0BAE64BD30F4330"/>
  </w:style>
  <w:style w:type="paragraph" w:customStyle="1" w:styleId="1F06E4567C90CF408805C0E9C792988B">
    <w:name w:val="1F06E4567C90CF408805C0E9C792988B"/>
  </w:style>
  <w:style w:type="paragraph" w:customStyle="1" w:styleId="126B7006832FF241B251C95B4606FD1D">
    <w:name w:val="126B7006832FF241B251C95B4606FD1D"/>
  </w:style>
  <w:style w:type="paragraph" w:customStyle="1" w:styleId="997E0ABF0D9C7949AB44A7F3B9869A3E">
    <w:name w:val="997E0ABF0D9C7949AB44A7F3B9869A3E"/>
  </w:style>
  <w:style w:type="paragraph" w:customStyle="1" w:styleId="EA6499EF5A509449B13B8A7EE3752320">
    <w:name w:val="EA6499EF5A509449B13B8A7EE3752320"/>
  </w:style>
  <w:style w:type="paragraph" w:customStyle="1" w:styleId="63DF644C8DD5AC4FACC0367720065F2A">
    <w:name w:val="63DF644C8DD5AC4FACC0367720065F2A"/>
  </w:style>
  <w:style w:type="paragraph" w:customStyle="1" w:styleId="89F6A0E706CD8E48B0712A7A9847D8E8">
    <w:name w:val="89F6A0E706CD8E48B0712A7A9847D8E8"/>
  </w:style>
  <w:style w:type="paragraph" w:customStyle="1" w:styleId="96B6D2904178E545AC3BFDA9B2F95EC4">
    <w:name w:val="96B6D2904178E545AC3BFDA9B2F95EC4"/>
  </w:style>
  <w:style w:type="paragraph" w:customStyle="1" w:styleId="041ADB5EDCC8C848954F17669C3D06E2">
    <w:name w:val="041ADB5EDCC8C848954F17669C3D06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Jac97</b:Tag>
    <b:SourceType>ArticleInAPeriodical</b:SourceType>
    <b:Guid>{822949E6-9962-4045-9ADF-F8FAFF3C04B4}</b:Guid>
    <b:Author>
      <b:Author>
        <b:NameList>
          <b:Person>
            <b:Last>Jacobsen</b:Last>
            <b:First>S.</b:First>
            <b:Middle>and Witt, S. (1977)</b:Middle>
          </b:Person>
        </b:NameList>
      </b:Author>
    </b:Author>
    <b:Title>Etwas Helles und Himmlisches</b:Title>
    <b:Year>1997</b:Year>
    <b:Comments>interview with Sofia Gubaidulina</b:Comments>
    <b:PeriodicalTitle>Flöte Aktuell</b:PeriodicalTitle>
    <b:Month>March</b:Month>
    <b:RefOrder>2</b:RefOrder>
  </b:Source>
  <b:Source>
    <b:Tag>Kur07</b:Tag>
    <b:SourceType>Book</b:SourceType>
    <b:Guid>{0A61D4C6-B6A1-9E4C-A519-15CBA5E2836D}</b:Guid>
    <b:Title>Sofia Gubaidulina. A Biography</b:Title>
    <b:Publisher>Indiana University Press</b:Publisher>
    <b:City>Bloomington &amp; Indianapolis</b:City>
    <b:Year>2007</b:Year>
    <b:Author>
      <b:Author>
        <b:NameList>
          <b:Person>
            <b:Last>Kurtz</b:Last>
            <b:First>M.</b:First>
          </b:Person>
        </b:NameList>
      </b:Author>
    </b:Author>
    <b:RefOrder>3</b:RefOrder>
  </b:Source>
  <b:Source>
    <b:Tag>Lem94</b:Tag>
    <b:SourceType>Book</b:SourceType>
    <b:Guid>{1A4CD89F-DB27-CF4A-B7FD-5FDA39E32125}</b:Guid>
    <b:Author>
      <b:Author>
        <b:NameList>
          <b:Person>
            <b:Last>Lemaire</b:Last>
            <b:First>F.C.</b:First>
          </b:Person>
        </b:NameList>
      </b:Author>
    </b:Author>
    <b:Title>La musique du XXe siècle en Russie</b:Title>
    <b:City>Paris</b:City>
    <b:Publisher>Fayard</b:Publisher>
    <b:Year>1994</b:Year>
    <b:RefOrder>4</b:RefOrder>
  </b:Source>
  <b:Source>
    <b:Tag>Ver98</b:Tag>
    <b:SourceType>ArticleInAPeriodical</b:SourceType>
    <b:Guid>{C8971AE5-3C82-3B4F-8604-1A4F70B33CC4}</b:Guid>
    <b:Title>'The Eucharist in my fantasy': Interview with Sofia Gubaidulina</b:Title>
    <b:Year>1998</b:Year>
    <b:Pages>29-35</b:Pages>
    <b:Edition>New Series</b:Edition>
    <b:Author>
      <b:Author>
        <b:NameList>
          <b:Person>
            <b:Last>Lukomsky</b:Last>
            <b:First>Vera</b:First>
          </b:Person>
        </b:NameList>
      </b:Author>
    </b:Author>
    <b:PeriodicalTitle>Tempo </b:PeriodicalTitle>
    <b:Month>September</b:Month>
    <b:Issue>206</b:Issue>
    <b:RefOrder>5</b:RefOrder>
  </b:Source>
  <b:Source>
    <b:Tag>McB98</b:Tag>
    <b:SourceType>BookSection</b:SourceType>
    <b:Guid>{3EB785A5-5CD4-1942-9978-53F498A56685}</b:Guid>
    <b:Author>
      <b:Author>
        <b:NameList>
          <b:Person>
            <b:Last>McBurney</b:Last>
            <b:First>G.</b:First>
          </b:Person>
        </b:NameList>
      </b:Author>
      <b:Editor>
        <b:NameList>
          <b:Person>
            <b:Last>Kelly</b:Last>
            <b:First>C.</b:First>
          </b:Person>
          <b:Person>
            <b:Last>Shepherd</b:Last>
            <b:First>D</b:First>
          </b:Person>
        </b:NameList>
      </b:Editor>
    </b:Author>
    <b:Title>Soviet Music after the Death of Stalin: The Legacy of Shostakovich</b:Title>
    <b:Publisher>Oxford University Press</b:Publisher>
    <b:City>Oxford</b:City>
    <b:Year>1998</b:Year>
    <b:BookTitle>Russian Cultural Studies</b:BookTitle>
    <b:RefOrder>6</b:RefOrder>
  </b:Source>
  <b:Source>
    <b:Tag>Moo12</b:Tag>
    <b:SourceType>JournalArticle</b:SourceType>
    <b:Guid>{5A4BE1CE-AA66-DB45-9761-EC0A4DC9A440}</b:Guid>
    <b:Title>The Space of the Soul: An Interview with Sofia Gubaidulina</b:Title>
    <b:Year>2012</b:Year>
    <b:Volume>66</b:Volume>
    <b:Pages>31-35</b:Pages>
    <b:Author>
      <b:Author>
        <b:NameList>
          <b:Person>
            <b:Last>Moody</b:Last>
            <b:First>I.</b:First>
          </b:Person>
        </b:NameList>
      </b:Author>
    </b:Author>
    <b:JournalName>Tempo</b:JournalName>
    <b:Issue>259</b:Issue>
    <b:RefOrder>7</b:RefOrder>
  </b:Source>
  <b:Source>
    <b:Tag>Dam99</b:Tag>
    <b:SourceType>Misc</b:SourceType>
    <b:Guid>{2FC3E7E5-75CC-1D4F-AFBC-7158A2010AEB}</b:Guid>
    <b:Title>Symbolic Structure in the Music of Gubaidulina</b:Title>
    <b:Publisher>The Ohio State University </b:Publisher>
    <b:Year>1999</b:Year>
    <b:Author>
      <b:Author>
        <b:NameList>
          <b:Person>
            <b:Last>Damaris Neary</b:Last>
            <b:First>F.</b:First>
          </b:Person>
        </b:NameList>
      </b:Author>
    </b:Author>
    <b:Medium>Disseration</b:Medium>
    <b:RefOrder>1</b:RefOrder>
  </b:Source>
  <b:Source>
    <b:Tag>Res91</b:Tag>
    <b:SourceType>Book</b:SourceType>
    <b:Guid>{1F17453F-F742-5841-98D4-BD26A9526568}</b:Guid>
    <b:Title>Gubajdulina</b:Title>
    <b:Year>1991</b:Year>
    <b:City>Turin</b:City>
    <b:Publisher>EDT</b:Publisher>
    <b:Author>
      <b:Editor>
        <b:NameList>
          <b:Person>
            <b:Last>Restagno</b:Last>
            <b:First>E.</b:First>
          </b:Person>
        </b:NameList>
      </b:Editor>
    </b:Author>
    <b:RefOrder>8</b:RefOrder>
  </b:Source>
</b:Sources>
</file>

<file path=customXml/itemProps1.xml><?xml version="1.0" encoding="utf-8"?>
<ds:datastoreItem xmlns:ds="http://schemas.openxmlformats.org/officeDocument/2006/customXml" ds:itemID="{30BA8B69-6DF2-5F4C-9031-FEC156C18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4</Pages>
  <Words>1519</Words>
  <Characters>8660</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2015-04-08T10:50:00Z</dcterms:created>
  <dcterms:modified xsi:type="dcterms:W3CDTF">2015-04-08T11:18:00Z</dcterms:modified>
</cp:coreProperties>
</file>