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04C52B51" w:rsidR="00B574C9" w:rsidRPr="00C55FAE" w:rsidRDefault="006B206D" w:rsidP="006B206D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D36AC7">
                  <w:t>Kara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1D10421" w:rsidR="00B574C9" w:rsidRPr="00C55FAE" w:rsidRDefault="006B206D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6B206D">
                  <w:rPr>
                    <w:lang w:val="en-US" w:eastAsia="ja-JP"/>
                  </w:rPr>
                  <w:t>Blakley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655113CC" w:rsidR="003F0D73" w:rsidRPr="00FB589A" w:rsidRDefault="006B206D" w:rsidP="000F721C">
                <w:pPr>
                  <w:rPr>
                    <w:b/>
                  </w:rPr>
                </w:pPr>
                <w:r w:rsidRPr="006B206D">
                  <w:rPr>
                    <w:b/>
                  </w:rPr>
                  <w:t xml:space="preserve"> </w:t>
                </w:r>
                <w:r w:rsidRPr="006B206D">
                  <w:rPr>
                    <w:b/>
                    <w:lang w:val="en-US" w:eastAsia="ja-JP"/>
                  </w:rPr>
                  <w:t>T</w:t>
                </w:r>
                <w:proofErr w:type="spellStart"/>
                <w:r w:rsidRPr="006B206D">
                  <w:rPr>
                    <w:b/>
                  </w:rPr>
                  <w:t>oulouse</w:t>
                </w:r>
                <w:proofErr w:type="spellEnd"/>
                <w:r w:rsidRPr="006B206D">
                  <w:rPr>
                    <w:b/>
                    <w:lang w:val="en-US" w:eastAsia="ja-JP"/>
                  </w:rPr>
                  <w:t>-L</w:t>
                </w:r>
                <w:proofErr w:type="spellStart"/>
                <w:r w:rsidRPr="006B206D">
                  <w:rPr>
                    <w:b/>
                  </w:rPr>
                  <w:t>autrec</w:t>
                </w:r>
                <w:proofErr w:type="spellEnd"/>
                <w:r w:rsidRPr="006B206D">
                  <w:rPr>
                    <w:b/>
                    <w:lang w:val="en-US" w:eastAsia="ja-JP"/>
                  </w:rPr>
                  <w:t xml:space="preserve">, </w:t>
                </w:r>
                <w:r w:rsidRPr="006B206D">
                  <w:rPr>
                    <w:b/>
                  </w:rPr>
                  <w:t>Henri de (1864-1901</w:t>
                </w:r>
                <w:r w:rsidRPr="006B206D">
                  <w:rPr>
                    <w:b/>
                    <w:lang w:val="en-US" w:eastAsia="ja-JP"/>
                  </w:rPr>
                  <w:t>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7F09FAFD" w:rsidR="00E85A05" w:rsidRDefault="003C413F" w:rsidP="00B74A6D">
                <w:r w:rsidRPr="00D36AC7">
                  <w:t xml:space="preserve">Few names are as synonymous with the freethinking associated with the French avant-garde as Henri de Toulouse-Lautrec. </w:t>
                </w:r>
                <w:r w:rsidR="00A72358">
                  <w:t>F</w:t>
                </w:r>
                <w:r>
                  <w:t>avouring scenes of night</w:t>
                </w:r>
                <w:r w:rsidRPr="00D36AC7">
                  <w:t>clubs and theatres to grand histories and mythology, he helped liberate painting from what was considered</w:t>
                </w:r>
                <w:r>
                  <w:t xml:space="preserve"> acceptable subject matter. Furthermore, Toulouse-Lautrec employed prominent lines, flattened surfaces, and ghoulish colours, which would become hallmarks of later modernist painters. Although his career was cut short due to his untimely death, Toulouse-Lautrec helped provide the blueprints for later modernist painting.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4537A4AE" w14:textId="77777777" w:rsidR="004D43B3" w:rsidRDefault="000C4A20" w:rsidP="004D43B3">
            <w:r w:rsidRPr="00D36AC7">
              <w:t>Few names are as synonymous with the freethinking associated with the French avant-garde as Henri de Toulouse-Lautrec.  Born into an aristocratic family, Toulouse-Lautrec chose to spend much of his working life in bohemian Montmartre, which would influence his modernist artistic tendencies. Toulouse-Lautrec chose to reject the academic-style in which he was tra</w:t>
            </w:r>
            <w:r w:rsidR="00D36AC7">
              <w:t>ined; favouring scenes of night</w:t>
            </w:r>
            <w:r w:rsidRPr="00D36AC7">
              <w:t>clubs and theatres to grand histories and mythology, he helped liberate painting from what was considered</w:t>
            </w:r>
            <w:r>
              <w:t xml:space="preserve"> acceptable subject matter. Furthermore, Toulouse-Lautrec employed prominent lines, flattened surfaces, and ghoulish colours, which would become hallmarks of later modernist painters. </w:t>
            </w:r>
            <w:r w:rsidRPr="00966BE6">
              <w:t>Toulouse-Lautrec frequently worked in oils, watercolour, charcoal, pastel, ink, and colo</w:t>
            </w:r>
            <w:r>
              <w:t>u</w:t>
            </w:r>
            <w:r w:rsidRPr="00966BE6">
              <w:t>red pencils, but was open to using any technique that allowed him to achieve his artist</w:t>
            </w:r>
            <w:r w:rsidR="00C3118E">
              <w:t>ic goals. T</w:t>
            </w:r>
            <w:r w:rsidRPr="00966BE6">
              <w:t xml:space="preserve">his openness allowed him to </w:t>
            </w:r>
            <w:proofErr w:type="gramStart"/>
            <w:r w:rsidRPr="00966BE6">
              <w:t>create not only</w:t>
            </w:r>
            <w:proofErr w:type="gramEnd"/>
            <w:r w:rsidRPr="00966BE6">
              <w:t xml:space="preserve"> paintings, but lithographs, posters, and commercial prints</w:t>
            </w:r>
            <w:r>
              <w:t xml:space="preserve">, thus further expanding the media and methods available to avant-garde artists. </w:t>
            </w:r>
            <w:r w:rsidRPr="00966BE6">
              <w:t xml:space="preserve">Perhaps owing </w:t>
            </w:r>
            <w:r>
              <w:t>to the fact that he was ostracis</w:t>
            </w:r>
            <w:r w:rsidRPr="00966BE6">
              <w:t>ed from elite society b</w:t>
            </w:r>
            <w:r>
              <w:t>ecause of his physical disabilities, extravagant self-characteris</w:t>
            </w:r>
            <w:r w:rsidRPr="00966BE6">
              <w:t>ation, and underclass acquaintances, Toulouse-Lautrec became masterful at depicting psychological authenticity</w:t>
            </w:r>
            <w:r w:rsidRPr="008F2E20">
              <w:t xml:space="preserve"> </w:t>
            </w:r>
            <w:r w:rsidRPr="00966BE6">
              <w:t>and revealing innate social hypocrisies in bourgeois social practices.</w:t>
            </w:r>
            <w:r>
              <w:t xml:space="preserve">  Although his career was cut short due to his untimely death, Toulouse-Lautrec helped provide the blueprints for later modernist painting.</w:t>
            </w:r>
          </w:p>
          <w:p w14:paraId="069DB2FD" w14:textId="77777777" w:rsidR="004D43B3" w:rsidRDefault="004D43B3" w:rsidP="004D43B3"/>
          <w:p w14:paraId="5DFB4052" w14:textId="7F90E99A" w:rsidR="00000B0D" w:rsidRDefault="000C4A20" w:rsidP="004D43B3">
            <w:r w:rsidRPr="004D43B3">
              <w:t xml:space="preserve">Born to first-cousin parents, young Henri demonstrated both early signs of genetic maladies and artistic aptitude. In 1882, Toulouse-Lautrec was afforded the opportunity to study under the tutelage of Léon </w:t>
            </w:r>
            <w:proofErr w:type="spellStart"/>
            <w:r w:rsidRPr="004D43B3">
              <w:t>Bonnat</w:t>
            </w:r>
            <w:proofErr w:type="spellEnd"/>
            <w:r w:rsidRPr="004D43B3">
              <w:t>, whose studio (which functioned as an art school), was among the most acclaimed at the time. Between 1882 and 1885, Toulouse-Lautrec began to forge his own style upon discovering the schism between official art, such a</w:t>
            </w:r>
            <w:r w:rsidR="003C413F" w:rsidRPr="004D43B3">
              <w:t xml:space="preserve">s that of </w:t>
            </w:r>
            <w:proofErr w:type="spellStart"/>
            <w:r w:rsidR="003C413F" w:rsidRPr="004D43B3">
              <w:t>Bonnat</w:t>
            </w:r>
            <w:proofErr w:type="spellEnd"/>
            <w:r w:rsidR="003C413F" w:rsidRPr="004D43B3">
              <w:t xml:space="preserve">, and the newly </w:t>
            </w:r>
            <w:r w:rsidRPr="004D43B3">
              <w:t xml:space="preserve">emerging avant-garde artists such as the Impressionist group who first exhibited collectively in 1874. Facilitating his immersion in the avant-garde movement was his relocation to Montmartre in 1885. Here, he was free to explore two components </w:t>
            </w:r>
            <w:r w:rsidR="00F54B06" w:rsidRPr="004D43B3">
              <w:t xml:space="preserve">that </w:t>
            </w:r>
            <w:r w:rsidRPr="004D43B3">
              <w:t xml:space="preserve">would become associated with his </w:t>
            </w:r>
            <w:proofErr w:type="spellStart"/>
            <w:r w:rsidRPr="004D43B3">
              <w:t>œuvre</w:t>
            </w:r>
            <w:proofErr w:type="spellEnd"/>
            <w:r w:rsidRPr="004D43B3">
              <w:t>:</w:t>
            </w:r>
            <w:r>
              <w:t xml:space="preserve"> distorted, caricaturis</w:t>
            </w:r>
            <w:r w:rsidRPr="00966BE6">
              <w:t>ing lighting and scenes of the Parisian social underworld. Toulouse-</w:t>
            </w:r>
            <w:r w:rsidRPr="00966BE6">
              <w:lastRenderedPageBreak/>
              <w:t>Lautrec observed the former while at theatres, where contemporary stage lighting—</w:t>
            </w:r>
            <w:proofErr w:type="spellStart"/>
            <w:r w:rsidRPr="00966BE6">
              <w:t>footlighting</w:t>
            </w:r>
            <w:proofErr w:type="spellEnd"/>
            <w:r w:rsidRPr="00966BE6">
              <w:t>—illuminated actors from below, casting unflattering and exaggerated shadows. The fo</w:t>
            </w:r>
            <w:r w:rsidR="00F54B06">
              <w:t>rmer, scenes in brothels, night</w:t>
            </w:r>
            <w:r w:rsidRPr="00966BE6">
              <w:t xml:space="preserve">clubs, bars, </w:t>
            </w:r>
            <w:r w:rsidR="002874EF">
              <w:t xml:space="preserve">and </w:t>
            </w:r>
            <w:r w:rsidRPr="00966BE6">
              <w:t>circuses, are now instantly attributable to Toulouse-Lautrec upon first glance. In particular, his interest in dance hall scenes coincided with the opening of the famous Moulin Rouge in 1889; here, Toulouse-Lautrec could mingle with ent</w:t>
            </w:r>
            <w:r>
              <w:t xml:space="preserve">ertainers and aristocrats alike, </w:t>
            </w:r>
            <w:r w:rsidRPr="00966BE6">
              <w:t>a nod to the class ambiguity in which he indulged throughout his artistic career. His relationship with the women in his life exemplify a microcosm of this class ambiguity: he maintained contact with his mother, an aristocrat, almost daily; in 1889, he fell in love with Suzanne Valadon, who was born into poverty and worked as a trapeze artist; and finally, while at the Moulin Rouge, he became a long-term friend</w:t>
            </w:r>
            <w:r>
              <w:t xml:space="preserve"> of Louise Weber, or “La </w:t>
            </w:r>
            <w:proofErr w:type="spellStart"/>
            <w:r>
              <w:t>Goulue</w:t>
            </w:r>
            <w:proofErr w:type="spellEnd"/>
            <w:r w:rsidR="00F54B06">
              <w:t>,</w:t>
            </w:r>
            <w:r w:rsidRPr="00966BE6">
              <w:t xml:space="preserve">” a famous performer who became one of the artist’s muses and models. He later became acquainted with the </w:t>
            </w:r>
            <w:r>
              <w:t xml:space="preserve">dancer Jane </w:t>
            </w:r>
            <w:proofErr w:type="spellStart"/>
            <w:r>
              <w:t>Avril</w:t>
            </w:r>
            <w:proofErr w:type="spellEnd"/>
            <w:r>
              <w:t>, a recognis</w:t>
            </w:r>
            <w:r w:rsidRPr="00966BE6">
              <w:t xml:space="preserve">able figure in many of Toulouse-Lautrec’s prints and paintings. Among his masterpieces, </w:t>
            </w:r>
            <w:r w:rsidR="00D36AC7" w:rsidRPr="00D36AC7">
              <w:rPr>
                <w:i/>
              </w:rPr>
              <w:t>At the Moulin Rouge</w:t>
            </w:r>
            <w:r w:rsidR="00D36AC7">
              <w:t xml:space="preserve"> </w:t>
            </w:r>
            <w:r w:rsidRPr="00966BE6">
              <w:t xml:space="preserve">(1892-1895) demonstrates the artist’s penchant for ghoulish colours and prominent lines. By the mid-1890s, his alcoholism and erratic behaviour </w:t>
            </w:r>
            <w:r w:rsidR="006D033E">
              <w:t>became increasingly problematic</w:t>
            </w:r>
            <w:r w:rsidRPr="00966BE6">
              <w:t xml:space="preserve"> and</w:t>
            </w:r>
            <w:r w:rsidR="006D033E">
              <w:t>,</w:t>
            </w:r>
            <w:r>
              <w:t xml:space="preserve"> in 1899, he was institutionalis</w:t>
            </w:r>
            <w:r w:rsidRPr="00966BE6">
              <w:t xml:space="preserve">ed briefly; in 1901, Henri de Toulouse-Lautrec suffered a fatal stroke and passed away at </w:t>
            </w:r>
            <w:r>
              <w:t xml:space="preserve">Chateau de </w:t>
            </w:r>
            <w:proofErr w:type="spellStart"/>
            <w:r>
              <w:t>Malrome</w:t>
            </w:r>
            <w:proofErr w:type="spellEnd"/>
            <w:r>
              <w:t xml:space="preserve">, </w:t>
            </w:r>
            <w:r w:rsidRPr="00966BE6">
              <w:t>his mother’s home shortly thereafter.</w:t>
            </w:r>
          </w:p>
          <w:p w14:paraId="7BD721DE" w14:textId="00C46F9D" w:rsidR="000C4A20" w:rsidRDefault="0064705B" w:rsidP="000C4A20">
            <w:pPr>
              <w:tabs>
                <w:tab w:val="left" w:pos="720"/>
                <w:tab w:val="left" w:pos="1440"/>
                <w:tab w:val="left" w:pos="2160"/>
              </w:tabs>
              <w:spacing w:before="120"/>
              <w:ind w:left="-72"/>
            </w:pPr>
            <w:r>
              <w:t xml:space="preserve">File: </w:t>
            </w:r>
            <w:r w:rsidR="005226C9" w:rsidRPr="005226C9">
              <w:t>At the Moulin Rouge</w:t>
            </w:r>
            <w:r w:rsidR="005226C9">
              <w:t>.pdf</w:t>
            </w:r>
          </w:p>
          <w:p w14:paraId="1ED4C6BB" w14:textId="26712071" w:rsidR="000C4A20" w:rsidRPr="00000B0D" w:rsidRDefault="006D033E" w:rsidP="00283645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E44AF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E44AF1">
              <w:t xml:space="preserve"> </w:t>
            </w:r>
            <w:r w:rsidR="000C4A20" w:rsidRPr="00E44AF1">
              <w:rPr>
                <w:i/>
              </w:rPr>
              <w:t>A</w:t>
            </w:r>
            <w:r w:rsidR="00E44AF1" w:rsidRPr="00E44AF1">
              <w:rPr>
                <w:i/>
              </w:rPr>
              <w:t>t the Moulin Rouge</w:t>
            </w:r>
            <w:r w:rsidR="00E44AF1">
              <w:t xml:space="preserve"> </w:t>
            </w:r>
            <w:r w:rsidR="000C4A20" w:rsidRPr="00966BE6">
              <w:t>(1892-1895)</w:t>
            </w:r>
            <w:r w:rsidR="00E44AF1">
              <w:t xml:space="preserve"> </w:t>
            </w:r>
            <w:hyperlink r:id="rId9" w:history="1">
              <w:r w:rsidR="000C4A20" w:rsidRPr="003553A5">
                <w:rPr>
                  <w:rStyle w:val="Hyperlink"/>
                </w:rPr>
                <w:t>http://en.wikipedia.org/wiki/At_the_Moulin_Rouge</w:t>
              </w:r>
            </w:hyperlink>
            <w:r w:rsidR="000C4A20">
              <w:t xml:space="preserve"> 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75D95F19" w14:textId="1C38188B" w:rsidR="000C4A20" w:rsidRPr="00966BE6" w:rsidRDefault="006D033E" w:rsidP="000C4A20">
            <w:sdt>
              <w:sdtPr>
                <w:id w:val="-1834759577"/>
                <w:citation/>
              </w:sdtPr>
              <w:sdtEndPr/>
              <w:sdtContent>
                <w:r w:rsidR="006B206D">
                  <w:fldChar w:fldCharType="begin"/>
                </w:r>
                <w:r w:rsidR="006B206D">
                  <w:rPr>
                    <w:lang w:val="en-US"/>
                  </w:rPr>
                  <w:instrText xml:space="preserve"> CITATION Cha02 \l 1033 </w:instrText>
                </w:r>
                <w:r w:rsidR="006B206D">
                  <w:fldChar w:fldCharType="separate"/>
                </w:r>
                <w:r w:rsidR="006B206D" w:rsidRPr="006B206D">
                  <w:rPr>
                    <w:noProof/>
                    <w:lang w:val="en-US"/>
                  </w:rPr>
                  <w:t>(Chapin)</w:t>
                </w:r>
                <w:r w:rsidR="006B206D">
                  <w:fldChar w:fldCharType="end"/>
                </w:r>
              </w:sdtContent>
            </w:sdt>
          </w:p>
          <w:p w14:paraId="2F223566" w14:textId="7D97C76C" w:rsidR="000C4A20" w:rsidRPr="00966BE6" w:rsidRDefault="006D033E" w:rsidP="000C4A20">
            <w:sdt>
              <w:sdtPr>
                <w:id w:val="485136769"/>
                <w:citation/>
              </w:sdtPr>
              <w:sdtEndPr/>
              <w:sdtContent>
                <w:r w:rsidR="00794C17">
                  <w:fldChar w:fldCharType="begin"/>
                </w:r>
                <w:r w:rsidR="00794C17">
                  <w:rPr>
                    <w:lang w:val="en-US"/>
                  </w:rPr>
                  <w:instrText xml:space="preserve"> CITATION Eis02 \l 1033 </w:instrText>
                </w:r>
                <w:r w:rsidR="00794C17">
                  <w:fldChar w:fldCharType="separate"/>
                </w:r>
                <w:r w:rsidR="00794C17" w:rsidRPr="00794C17">
                  <w:rPr>
                    <w:noProof/>
                    <w:lang w:val="en-US"/>
                  </w:rPr>
                  <w:t>(Eisenman)</w:t>
                </w:r>
                <w:r w:rsidR="00794C17">
                  <w:fldChar w:fldCharType="end"/>
                </w:r>
              </w:sdtContent>
            </w:sdt>
          </w:p>
          <w:p w14:paraId="4E675283" w14:textId="3BEFD41E" w:rsidR="000C4A20" w:rsidRPr="00966BE6" w:rsidRDefault="006D033E" w:rsidP="000C4A20">
            <w:sdt>
              <w:sdtPr>
                <w:id w:val="-1206175192"/>
                <w:citation/>
              </w:sdtPr>
              <w:sdtEndPr/>
              <w:sdtContent>
                <w:r w:rsidR="00794C17">
                  <w:fldChar w:fldCharType="begin"/>
                </w:r>
                <w:r w:rsidR="00794C17">
                  <w:rPr>
                    <w:lang w:val="en-US"/>
                  </w:rPr>
                  <w:instrText xml:space="preserve"> CITATION Frè94 \l 1033 </w:instrText>
                </w:r>
                <w:r w:rsidR="00794C17">
                  <w:fldChar w:fldCharType="separate"/>
                </w:r>
                <w:r w:rsidR="00794C17" w:rsidRPr="00794C17">
                  <w:rPr>
                    <w:noProof/>
                    <w:lang w:val="en-US"/>
                  </w:rPr>
                  <w:t>(Frèches)</w:t>
                </w:r>
                <w:r w:rsidR="00794C17">
                  <w:fldChar w:fldCharType="end"/>
                </w:r>
              </w:sdtContent>
            </w:sdt>
          </w:p>
          <w:p w14:paraId="38D3681B" w14:textId="7B8D0896" w:rsidR="000C4A20" w:rsidRPr="00966BE6" w:rsidRDefault="006D033E" w:rsidP="000C4A20">
            <w:sdt>
              <w:sdtPr>
                <w:id w:val="1499079519"/>
                <w:citation/>
              </w:sdtPr>
              <w:sdtEndPr/>
              <w:sdtContent>
                <w:r w:rsidR="00794C17">
                  <w:fldChar w:fldCharType="begin"/>
                </w:r>
                <w:r w:rsidR="00794C17">
                  <w:rPr>
                    <w:lang w:val="en-US"/>
                  </w:rPr>
                  <w:instrText xml:space="preserve"> CITATION Ger96 \l 1033 </w:instrText>
                </w:r>
                <w:r w:rsidR="00794C17">
                  <w:fldChar w:fldCharType="separate"/>
                </w:r>
                <w:r w:rsidR="00794C17" w:rsidRPr="00794C17">
                  <w:rPr>
                    <w:noProof/>
                    <w:lang w:val="en-US"/>
                  </w:rPr>
                  <w:t>(Gerhard)</w:t>
                </w:r>
                <w:r w:rsidR="00794C17">
                  <w:fldChar w:fldCharType="end"/>
                </w:r>
              </w:sdtContent>
            </w:sdt>
            <w:bookmarkStart w:id="0" w:name="_GoBack"/>
            <w:bookmarkEnd w:id="0"/>
          </w:p>
          <w:p w14:paraId="59A2680B" w14:textId="77777777" w:rsidR="002A756B" w:rsidRDefault="006D033E" w:rsidP="006B206D">
            <w:sdt>
              <w:sdtPr>
                <w:id w:val="1650016429"/>
                <w:citation/>
              </w:sdtPr>
              <w:sdtEndPr/>
              <w:sdtContent>
                <w:r w:rsidR="006B206D">
                  <w:fldChar w:fldCharType="begin"/>
                </w:r>
                <w:r w:rsidR="006B206D">
                  <w:rPr>
                    <w:lang w:val="en-US"/>
                  </w:rPr>
                  <w:instrText xml:space="preserve"> CITATION Mac89 \l 1033 </w:instrText>
                </w:r>
                <w:r w:rsidR="006B206D">
                  <w:fldChar w:fldCharType="separate"/>
                </w:r>
                <w:r w:rsidR="006B206D" w:rsidRPr="006B206D">
                  <w:rPr>
                    <w:noProof/>
                    <w:lang w:val="en-US"/>
                  </w:rPr>
                  <w:t>(Mack)</w:t>
                </w:r>
                <w:r w:rsidR="006B206D">
                  <w:fldChar w:fldCharType="end"/>
                </w:r>
              </w:sdtContent>
            </w:sdt>
          </w:p>
          <w:p w14:paraId="63759E06" w14:textId="52624DE4" w:rsidR="00794C17" w:rsidRPr="006B206D" w:rsidRDefault="006D033E" w:rsidP="006B206D">
            <w:sdt>
              <w:sdtPr>
                <w:id w:val="320865817"/>
                <w:citation/>
              </w:sdtPr>
              <w:sdtEndPr/>
              <w:sdtContent>
                <w:r w:rsidR="00794C17">
                  <w:fldChar w:fldCharType="begin"/>
                </w:r>
                <w:r w:rsidR="00794C17">
                  <w:rPr>
                    <w:lang w:val="en-US"/>
                  </w:rPr>
                  <w:instrText xml:space="preserve"> CITATION htt \l 1033 </w:instrText>
                </w:r>
                <w:r w:rsidR="00794C17">
                  <w:fldChar w:fldCharType="separate"/>
                </w:r>
                <w:r w:rsidR="00794C17" w:rsidRPr="00794C17">
                  <w:rPr>
                    <w:noProof/>
                    <w:lang w:val="en-US"/>
                  </w:rPr>
                  <w:t>(htt)</w:t>
                </w:r>
                <w:r w:rsidR="00794C17">
                  <w:fldChar w:fldCharType="end"/>
                </w:r>
              </w:sdtContent>
            </w:sdt>
          </w:p>
        </w:tc>
      </w:tr>
    </w:tbl>
    <w:p w14:paraId="4D036C04" w14:textId="2E8B0062" w:rsidR="00C27FAB" w:rsidRPr="00F36937" w:rsidRDefault="00C27FAB" w:rsidP="00E44AF1">
      <w:pPr>
        <w:pStyle w:val="Caption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C4A20"/>
    <w:rsid w:val="000D24DC"/>
    <w:rsid w:val="000F721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3645"/>
    <w:rsid w:val="002874EF"/>
    <w:rsid w:val="002A0A0D"/>
    <w:rsid w:val="002A756B"/>
    <w:rsid w:val="002B0B37"/>
    <w:rsid w:val="0030662D"/>
    <w:rsid w:val="003235A7"/>
    <w:rsid w:val="003677B6"/>
    <w:rsid w:val="003C413F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43B3"/>
    <w:rsid w:val="004E5896"/>
    <w:rsid w:val="00513EE6"/>
    <w:rsid w:val="005226C9"/>
    <w:rsid w:val="00522EA3"/>
    <w:rsid w:val="00534F8F"/>
    <w:rsid w:val="00590035"/>
    <w:rsid w:val="005B177E"/>
    <w:rsid w:val="005B3921"/>
    <w:rsid w:val="005F26D7"/>
    <w:rsid w:val="005F5450"/>
    <w:rsid w:val="00602F9F"/>
    <w:rsid w:val="0064705B"/>
    <w:rsid w:val="006B206D"/>
    <w:rsid w:val="006D033E"/>
    <w:rsid w:val="006D0412"/>
    <w:rsid w:val="007411B9"/>
    <w:rsid w:val="00780D95"/>
    <w:rsid w:val="00780DC7"/>
    <w:rsid w:val="00794C17"/>
    <w:rsid w:val="007A0D55"/>
    <w:rsid w:val="007B3377"/>
    <w:rsid w:val="007E5F44"/>
    <w:rsid w:val="00802B84"/>
    <w:rsid w:val="00821DE3"/>
    <w:rsid w:val="00846CE1"/>
    <w:rsid w:val="00853C4A"/>
    <w:rsid w:val="00897586"/>
    <w:rsid w:val="008A3713"/>
    <w:rsid w:val="008A5B87"/>
    <w:rsid w:val="008B6514"/>
    <w:rsid w:val="00922950"/>
    <w:rsid w:val="009A7264"/>
    <w:rsid w:val="009D1606"/>
    <w:rsid w:val="009E18A1"/>
    <w:rsid w:val="009E73D7"/>
    <w:rsid w:val="00A27D2C"/>
    <w:rsid w:val="00A72358"/>
    <w:rsid w:val="00A76FD9"/>
    <w:rsid w:val="00AB436D"/>
    <w:rsid w:val="00AD2F24"/>
    <w:rsid w:val="00AD4844"/>
    <w:rsid w:val="00B219AE"/>
    <w:rsid w:val="00B33145"/>
    <w:rsid w:val="00B574C9"/>
    <w:rsid w:val="00B74A6D"/>
    <w:rsid w:val="00BC39C9"/>
    <w:rsid w:val="00BE5BF7"/>
    <w:rsid w:val="00BF40E1"/>
    <w:rsid w:val="00C27FAB"/>
    <w:rsid w:val="00C3118E"/>
    <w:rsid w:val="00C358D4"/>
    <w:rsid w:val="00C55FAE"/>
    <w:rsid w:val="00C6296B"/>
    <w:rsid w:val="00CC586D"/>
    <w:rsid w:val="00CF1542"/>
    <w:rsid w:val="00CF3EC5"/>
    <w:rsid w:val="00D36AC7"/>
    <w:rsid w:val="00D656DA"/>
    <w:rsid w:val="00D83300"/>
    <w:rsid w:val="00DC6B48"/>
    <w:rsid w:val="00DF01B0"/>
    <w:rsid w:val="00E44AF1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4B06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44AF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44AF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wikipedia.org/wiki/At_the_Moulin_Rouge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Cha02</b:Tag>
    <b:SourceType>Book</b:SourceType>
    <b:Guid>{DDB1D660-9753-B741-B52A-D9F17BC1C17F}</b:Guid>
    <b:Author>
      <b:Author>
        <b:NameList>
          <b:Person>
            <b:Last>Chapin</b:Last>
            <b:First>Mary</b:First>
            <b:Middle>Weaver</b:Middle>
          </b:Person>
        </b:NameList>
      </b:Author>
    </b:Author>
    <b:Title>Henri de Toulouse-Lautrec and the café-concert: printmaking, publicity, and celebrity in fin-de-siecle Paris</b:Title>
    <b:City>Ann Arbor</b:City>
    <b:StateProvince>MI</b:StateProvince>
    <b:Publisher>UMI</b:Publisher>
    <b:Year>2002</b:Year>
    <b:RefOrder>1</b:RefOrder>
  </b:Source>
  <b:Source>
    <b:Tag>Eis02</b:Tag>
    <b:SourceType>Book</b:SourceType>
    <b:Guid>{E60D9512-5A1A-0145-A773-3683C32DAC91}</b:Guid>
    <b:Author>
      <b:Author>
        <b:NameList>
          <b:Person>
            <b:Last>Eisenman</b:Last>
            <b:First>Stephan</b:First>
          </b:Person>
        </b:NameList>
      </b:Author>
    </b:Author>
    <b:Title>Nineteenth-Century Art: A Critical History</b:Title>
    <b:City>New York</b:City>
    <b:StateProvince>NY</b:StateProvince>
    <b:Publisher>Thames &amp; Hudson</b:Publisher>
    <b:Year>2002</b:Year>
    <b:RefOrder>2</b:RefOrder>
  </b:Source>
  <b:Source>
    <b:Tag>Ger96</b:Tag>
    <b:SourceType>Book</b:SourceType>
    <b:Guid>{9F4A693E-8F72-E545-8B26-8C9615926C0A}</b:Guid>
    <b:Author>
      <b:Author>
        <b:NameList>
          <b:Person>
            <b:Last>Gerhard</b:Last>
            <b:First>Gruitrooy</b:First>
          </b:Person>
        </b:NameList>
      </b:Author>
    </b:Author>
    <b:Title>Henri de Toulouse-Lautrec</b:Title>
    <b:City>New York</b:City>
    <b:StateProvince>NY</b:StateProvince>
    <b:Publisher>Smithmark</b:Publisher>
    <b:Year>1996</b:Year>
    <b:RefOrder>4</b:RefOrder>
  </b:Source>
  <b:Source>
    <b:Tag>Frè94</b:Tag>
    <b:SourceType>Book</b:SourceType>
    <b:Guid>{E3FB4290-84A1-EE4D-BB9A-150F28E958D2}</b:Guid>
    <b:Author>
      <b:Author>
        <b:NameList>
          <b:Person>
            <b:Last>Frèches</b:Last>
            <b:First>Claire</b:First>
          </b:Person>
        </b:NameList>
      </b:Author>
      <b:Translator>
        <b:NameList>
          <b:Person>
            <b:Last>Campbell</b:Last>
            <b:First>Alexandra</b:First>
          </b:Person>
        </b:NameList>
      </b:Translator>
    </b:Author>
    <b:Title>Toulouse-Lautrec: Scenes of the Night</b:Title>
    <b:City>New York</b:City>
    <b:StateProvince>NY</b:StateProvince>
    <b:Publisher>Harry N. Abrams</b:Publisher>
    <b:Year>1994</b:Year>
    <b:RefOrder>3</b:RefOrder>
  </b:Source>
  <b:Source>
    <b:Tag>Mac89</b:Tag>
    <b:SourceType>Book</b:SourceType>
    <b:Guid>{EF0BA507-C807-854B-A592-E07C6181429B}</b:Guid>
    <b:Author>
      <b:Author>
        <b:NameList>
          <b:Person>
            <b:Last>Mack</b:Last>
            <b:First>Gerstle</b:First>
          </b:Person>
        </b:NameList>
      </b:Author>
    </b:Author>
    <b:Title>Toulouse-Lautrec</b:Title>
    <b:City>New York</b:City>
    <b:StateProvince>NY</b:StateProvince>
    <b:Publisher>Paragon House</b:Publisher>
    <b:Year>1989</b:Year>
    <b:RefOrder>5</b:RefOrder>
  </b:Source>
  <b:Source>
    <b:Tag>htt</b:Tag>
    <b:SourceType>InternetSite</b:SourceType>
    <b:Guid>{E1ECF47E-E6F3-8A4F-9C01-A5016CD770DC}</b:Guid>
    <b:URL>http://www.toulouse-lautrec-foundation.org/</b:URL>
    <b:RefOrder>6</b:RefOrder>
  </b:Source>
</b:Sources>
</file>

<file path=customXml/itemProps1.xml><?xml version="1.0" encoding="utf-8"?>
<ds:datastoreItem xmlns:ds="http://schemas.openxmlformats.org/officeDocument/2006/customXml" ds:itemID="{4ADFD668-2171-F948-937A-AF6D58F4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2</Pages>
  <Words>772</Words>
  <Characters>4404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19</cp:revision>
  <dcterms:created xsi:type="dcterms:W3CDTF">2014-06-13T06:04:00Z</dcterms:created>
  <dcterms:modified xsi:type="dcterms:W3CDTF">2014-06-14T19:53:00Z</dcterms:modified>
</cp:coreProperties>
</file>