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1DEDF430406E544B3E6900A1851847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8C3A943CC57634D946B2608F6102A3A"/>
            </w:placeholder>
            <w:text/>
          </w:sdtPr>
          <w:sdtContent>
            <w:tc>
              <w:tcPr>
                <w:tcW w:w="2073" w:type="dxa"/>
              </w:tcPr>
              <w:p w:rsidR="00B574C9" w:rsidRDefault="00DD2DE6" w:rsidP="00DD2DE6">
                <w:r>
                  <w:t>Derek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7A5AA51241E4947A41B44D23AD44828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DCADA54F83B74D86DDA35CA055DCD9"/>
            </w:placeholder>
            <w:text/>
          </w:sdtPr>
          <w:sdtContent>
            <w:tc>
              <w:tcPr>
                <w:tcW w:w="2642" w:type="dxa"/>
              </w:tcPr>
              <w:p w:rsidR="00B574C9" w:rsidRDefault="00DD2DE6" w:rsidP="00DD2DE6">
                <w:r>
                  <w:t>Gladwin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CF05205AD74D447B1902BE90DA7D39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726F3876507D748AFAB8437CFC851C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061313A002728448ED79732CB396D2C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DD2DE6">
        <w:sdt>
          <w:sdtPr>
            <w:alias w:val="Variant headwords"/>
            <w:tag w:val="variantHeadwords"/>
            <w:id w:val="173464402"/>
            <w:placeholder>
              <w:docPart w:val="02A5007332D45346A7B0DEC93760364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285650CA6EA274980B0F5B7D104CBD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B709B05A7AB3245BFB456C8E1B0592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D2DE6" w:rsidRDefault="00DD2DE6" w:rsidP="00DD2DE6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Friedrich Wilhelm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Murnau’s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90268">
                  <w:rPr>
                    <w:rFonts w:ascii="Times New Roman" w:hAnsi="Times New Roman" w:cs="Times New Roman"/>
                    <w:i/>
                  </w:rPr>
                  <w:t>Nosferatu</w:t>
                </w:r>
                <w:proofErr w:type="spellEnd"/>
                <w:r w:rsidRPr="00A90268">
                  <w:rPr>
                    <w:rFonts w:ascii="Times New Roman" w:hAnsi="Times New Roman" w:cs="Times New Roman"/>
                    <w:i/>
                  </w:rPr>
                  <w:t>: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Eine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Symphonie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des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Grauens</w:t>
                </w:r>
                <w:proofErr w:type="spellEnd"/>
                <w:r w:rsidRPr="00A90268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i/>
                  </w:rPr>
                  <w:t>[</w:t>
                </w:r>
                <w:r w:rsidRPr="00A90268">
                  <w:rPr>
                    <w:rFonts w:ascii="Times New Roman" w:hAnsi="Times New Roman" w:cs="Times New Roman"/>
                    <w:i/>
                  </w:rPr>
                  <w:t>A Symphony of Horror</w:t>
                </w:r>
                <w:r>
                  <w:rPr>
                    <w:rFonts w:ascii="Times New Roman" w:hAnsi="Times New Roman" w:cs="Times New Roman"/>
                    <w:i/>
                  </w:rPr>
                  <w:t>]</w:t>
                </w:r>
                <w:r w:rsidRPr="00311A18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(1922)</w:t>
                </w:r>
                <w:r w:rsidR="00561FEC">
                  <w:rPr>
                    <w:rFonts w:ascii="Times New Roman" w:hAnsi="Times New Roman" w:cs="Times New Roman"/>
                  </w:rPr>
                  <w:t xml:space="preserve"> [link: </w:t>
                </w:r>
                <w:r w:rsidR="00561FEC">
                  <w:fldChar w:fldCharType="begin"/>
                </w:r>
                <w:r w:rsidR="00561FEC">
                  <w:instrText xml:space="preserve"> HYPERLINK "http://nosferatumovie.com/" </w:instrText>
                </w:r>
                <w:r w:rsidR="00561FEC">
                  <w:fldChar w:fldCharType="separate"/>
                </w:r>
                <w:r w:rsidR="00561FEC" w:rsidRPr="00ED0B98">
                  <w:rPr>
                    <w:rStyle w:val="Hyperlink"/>
                    <w:rFonts w:ascii="Times New Roman" w:hAnsi="Times New Roman" w:cs="Times New Roman"/>
                  </w:rPr>
                  <w:t>http://nosferatumovie.com/</w:t>
                </w:r>
                <w:r w:rsidR="00561FEC" w:rsidRPr="00ED0B98">
                  <w:rPr>
                    <w:rStyle w:val="Hyperlink"/>
                    <w:rFonts w:ascii="Times New Roman" w:hAnsi="Times New Roman" w:cs="Times New Roman"/>
                  </w:rPr>
                  <w:fldChar w:fldCharType="end"/>
                </w:r>
                <w:r w:rsidR="00561FEC">
                  <w:rPr>
                    <w:rStyle w:val="Hyperlink"/>
                    <w:rFonts w:ascii="Times New Roman" w:hAnsi="Times New Roman" w:cs="Times New Roman"/>
                  </w:rPr>
                  <w:t>]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311A18">
                  <w:rPr>
                    <w:rFonts w:ascii="Times New Roman" w:hAnsi="Times New Roman" w:cs="Times New Roman"/>
                  </w:rPr>
                  <w:t xml:space="preserve">is a German </w:t>
                </w:r>
                <w:r>
                  <w:rPr>
                    <w:rFonts w:ascii="Times New Roman" w:hAnsi="Times New Roman" w:cs="Times New Roman"/>
                  </w:rPr>
                  <w:t>E</w:t>
                </w:r>
                <w:r w:rsidRPr="00311A18">
                  <w:rPr>
                    <w:rFonts w:ascii="Times New Roman" w:hAnsi="Times New Roman" w:cs="Times New Roman"/>
                  </w:rPr>
                  <w:t xml:space="preserve">xpressionist film </w:t>
                </w:r>
                <w:r w:rsidR="00561FEC">
                  <w:rPr>
                    <w:rFonts w:ascii="Times New Roman" w:hAnsi="Times New Roman" w:cs="Times New Roman"/>
                  </w:rPr>
                  <w:t xml:space="preserve">[link: </w:t>
                </w:r>
                <w:hyperlink r:id="rId8" w:history="1">
                  <w:r w:rsidR="00561FEC" w:rsidRPr="00FD3AF6">
                    <w:rPr>
                      <w:rStyle w:val="Hyperlink"/>
                      <w:rFonts w:ascii="Times New Roman" w:hAnsi="Times New Roman" w:cs="Times New Roman"/>
                    </w:rPr>
                    <w:t>http://www.greencine.com/static/primers/expressionism1.jsp</w:t>
                  </w:r>
                </w:hyperlink>
                <w:r w:rsidR="00561FEC">
                  <w:rPr>
                    <w:rStyle w:val="Hyperlink"/>
                    <w:rFonts w:ascii="Times New Roman" w:hAnsi="Times New Roman" w:cs="Times New Roman"/>
                  </w:rPr>
                  <w:t xml:space="preserve"> </w:t>
                </w:r>
                <w:proofErr w:type="gramStart"/>
                <w:r w:rsidR="00561FEC">
                  <w:rPr>
                    <w:rFonts w:ascii="Times New Roman" w:hAnsi="Times New Roman" w:cs="Times New Roman"/>
                  </w:rPr>
                  <w:t>]</w:t>
                </w:r>
                <w:r>
                  <w:rPr>
                    <w:rFonts w:ascii="Times New Roman" w:hAnsi="Times New Roman" w:cs="Times New Roman"/>
                  </w:rPr>
                  <w:t>that</w:t>
                </w:r>
                <w:proofErr w:type="gramEnd"/>
                <w:r>
                  <w:rPr>
                    <w:rFonts w:ascii="Times New Roman" w:hAnsi="Times New Roman" w:cs="Times New Roman"/>
                  </w:rPr>
                  <w:t xml:space="preserve"> remains one of the most popular adaptations of Bram Stoker’s novel </w:t>
                </w:r>
                <w:r w:rsidRPr="00C6088E">
                  <w:rPr>
                    <w:rFonts w:ascii="Times New Roman" w:hAnsi="Times New Roman" w:cs="Times New Roman"/>
                    <w:i/>
                  </w:rPr>
                  <w:t>Dracula</w:t>
                </w:r>
                <w:r>
                  <w:rPr>
                    <w:rFonts w:ascii="Times New Roman" w:hAnsi="Times New Roman" w:cs="Times New Roman"/>
                  </w:rPr>
                  <w:t xml:space="preserve"> (1897)</w:t>
                </w:r>
                <w:r w:rsidR="00561FEC">
                  <w:rPr>
                    <w:rFonts w:ascii="Times New Roman" w:hAnsi="Times New Roman" w:cs="Times New Roman"/>
                  </w:rPr>
                  <w:t xml:space="preserve"> [link: </w:t>
                </w:r>
                <w:hyperlink r:id="rId9" w:history="1">
                  <w:r w:rsidR="00561FEC" w:rsidRPr="00ED0B98">
                    <w:rPr>
                      <w:rStyle w:val="Hyperlink"/>
                      <w:rFonts w:ascii="Times New Roman" w:hAnsi="Times New Roman" w:cs="Times New Roman"/>
                    </w:rPr>
                    <w:t>http://www.litgothic.com/Authors/title.html</w:t>
                  </w:r>
                </w:hyperlink>
                <w:r w:rsidR="00561FEC">
                  <w:rPr>
                    <w:rStyle w:val="Hyperlink"/>
                    <w:rFonts w:ascii="Times New Roman" w:hAnsi="Times New Roman" w:cs="Times New Roman"/>
                  </w:rPr>
                  <w:t>]</w:t>
                </w:r>
                <w:r>
                  <w:rPr>
                    <w:rFonts w:ascii="Times New Roman" w:hAnsi="Times New Roman" w:cs="Times New Roman"/>
                  </w:rPr>
                  <w:t xml:space="preserve">. In the film, Thomas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Hutter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(Gustav von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Wangenheim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) visits Transylvania to meet Count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Orlok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(Max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Schreck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), seeking to purchase real estate in the fictitious town of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Wisborg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Germany. Strange and terrible events occur at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Orlok’s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castle.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Orlok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becomes obsessed with Thomas’s wife Ellen (Greta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Schröder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) and travels to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Wisborg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to find her. During the sea voyage, the crew mysteriously die. When the villagers of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Wisborg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also begin to die, townspeople blame a plague carried by rats from the ship, not suspecting a bloodthirsty vampire. Ultimately, Ellen sacrifices herself to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Orlok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while he disintegrates in the morning sunlight. </w:t>
                </w:r>
                <w:proofErr w:type="spellStart"/>
                <w:r w:rsidRPr="005818E3">
                  <w:rPr>
                    <w:rFonts w:ascii="Times New Roman" w:hAnsi="Times New Roman" w:cs="Times New Roman"/>
                    <w:i/>
                  </w:rPr>
                  <w:t>Nosferatu’s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use of abstraction by elevating cinematic form over narrative development resembles similar approaches in Modernist art. Using Expressionist film </w:t>
                </w:r>
                <w:r w:rsidRPr="00311A18">
                  <w:rPr>
                    <w:rFonts w:ascii="Times New Roman" w:hAnsi="Times New Roman" w:cs="Times New Roman"/>
                  </w:rPr>
                  <w:t>technique</w:t>
                </w:r>
                <w:r>
                  <w:rPr>
                    <w:rFonts w:ascii="Times New Roman" w:hAnsi="Times New Roman" w:cs="Times New Roman"/>
                  </w:rPr>
                  <w:t xml:space="preserve">s,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Murnau</w:t>
                </w:r>
                <w:proofErr w:type="spellEnd"/>
                <w:r w:rsidRPr="00311A18">
                  <w:rPr>
                    <w:rFonts w:ascii="Times New Roman" w:hAnsi="Times New Roman" w:cs="Times New Roman"/>
                  </w:rPr>
                  <w:t xml:space="preserve"> </w:t>
                </w:r>
                <w:r w:rsidR="00561FEC">
                  <w:rPr>
                    <w:rFonts w:ascii="Times New Roman" w:hAnsi="Times New Roman" w:cs="Times New Roman"/>
                  </w:rPr>
                  <w:t>[</w:t>
                </w:r>
                <w:hyperlink r:id="rId10" w:history="1">
                  <w:r w:rsidR="00561FEC" w:rsidRPr="00FA4B2F">
                    <w:rPr>
                      <w:rStyle w:val="Hyperlink"/>
                      <w:rFonts w:ascii="Times New Roman" w:hAnsi="Times New Roman" w:cs="Times New Roman"/>
                    </w:rPr>
                    <w:t>http://www.princeton.edu/~achaney/tmve/wiki100k/docs/F._W._Murnau.html</w:t>
                  </w:r>
                </w:hyperlink>
                <w:r w:rsidR="00561FEC">
                  <w:rPr>
                    <w:rStyle w:val="Hyperlink"/>
                    <w:rFonts w:ascii="Times New Roman" w:hAnsi="Times New Roman" w:cs="Times New Roman"/>
                  </w:rPr>
                  <w:t xml:space="preserve">] </w:t>
                </w:r>
                <w:r>
                  <w:rPr>
                    <w:rFonts w:ascii="Times New Roman" w:hAnsi="Times New Roman" w:cs="Times New Roman"/>
                  </w:rPr>
                  <w:t xml:space="preserve">challenges perceptions of reality through distorted point-of-view shots creating nightmarish effects.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Orlok’s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cadaverous appearance — through stylistic gestures of the body and costume elements — initiates the prototypical horror film character as simultaneously terrifying and alluring. The film achieves this through a combination of long shots, chiaroscuro lighting (vivid contrasts and abstractions between light and dark), and the doppelgänger effect (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Orlok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and his shadow). </w:t>
                </w:r>
                <w:proofErr w:type="spellStart"/>
                <w:r w:rsidRPr="0076417B">
                  <w:rPr>
                    <w:rFonts w:ascii="Times New Roman" w:hAnsi="Times New Roman" w:cs="Times New Roman"/>
                    <w:i/>
                  </w:rPr>
                  <w:t>Nosferatu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="00561FEC">
                  <w:rPr>
                    <w:rFonts w:ascii="Times New Roman" w:hAnsi="Times New Roman" w:cs="Times New Roman"/>
                  </w:rPr>
                  <w:t xml:space="preserve">[link: </w:t>
                </w:r>
                <w:hyperlink r:id="rId11" w:history="1">
                  <w:r w:rsidR="00561FEC" w:rsidRPr="00ED0B98">
                    <w:rPr>
                      <w:rStyle w:val="Hyperlink"/>
                      <w:rFonts w:ascii="Times New Roman" w:hAnsi="Times New Roman" w:cs="Times New Roman"/>
                    </w:rPr>
                    <w:t>http://www.youtube.com/watch?v=rcyzubFvBsA</w:t>
                  </w:r>
                </w:hyperlink>
                <w:r w:rsidR="00561FEC">
                  <w:rPr>
                    <w:rFonts w:ascii="Times New Roman" w:hAnsi="Times New Roman" w:cs="Times New Roman"/>
                  </w:rPr>
                  <w:t xml:space="preserve">] </w:t>
                </w:r>
                <w:r>
                  <w:rPr>
                    <w:rFonts w:ascii="Times New Roman" w:hAnsi="Times New Roman" w:cs="Times New Roman"/>
                  </w:rPr>
                  <w:t xml:space="preserve">demonstrates how the manipulation of time, space, and light (shadow) induces claustrophobia and psychic disorder in the modern horror film.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641E3741B21A641A9BE174C5B2FD9A0"/>
              </w:placeholder>
            </w:sdtPr>
            <w:sdtContent>
              <w:p w:rsidR="00DD2DE6" w:rsidRDefault="00DD2DE6" w:rsidP="00DD2DE6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Ashbury, R. </w:t>
                </w:r>
                <w:proofErr w:type="spellStart"/>
                <w:r w:rsidRPr="001C092A">
                  <w:rPr>
                    <w:rFonts w:ascii="Times New Roman" w:hAnsi="Times New Roman" w:cs="Times New Roman"/>
                    <w:i/>
                  </w:rPr>
                  <w:t>Nosteratu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. </w:t>
                </w:r>
                <w:r w:rsidRPr="001C092A">
                  <w:rPr>
                    <w:rFonts w:ascii="Times New Roman" w:hAnsi="Times New Roman" w:cs="Times New Roman"/>
                  </w:rPr>
                  <w:t>N</w:t>
                </w:r>
                <w:r>
                  <w:rPr>
                    <w:rFonts w:ascii="Times New Roman" w:hAnsi="Times New Roman" w:cs="Times New Roman"/>
                  </w:rPr>
                  <w:t xml:space="preserve">ew York: Pearson Education, 2001. Print. </w:t>
                </w:r>
              </w:p>
              <w:p w:rsidR="00DD2DE6" w:rsidRPr="001C092A" w:rsidRDefault="00DD2DE6" w:rsidP="00DD2DE6">
                <w:pPr>
                  <w:rPr>
                    <w:rFonts w:ascii="Times New Roman" w:hAnsi="Times New Roman" w:cs="Times New Roman"/>
                  </w:rPr>
                </w:pPr>
              </w:p>
              <w:p w:rsidR="00DD2DE6" w:rsidRDefault="00DD2DE6" w:rsidP="00DD2DE6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Elsaesser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T. </w:t>
                </w:r>
                <w:r w:rsidRPr="001C092A">
                  <w:rPr>
                    <w:rFonts w:ascii="Times New Roman" w:hAnsi="Times New Roman" w:cs="Times New Roman"/>
                  </w:rPr>
                  <w:t xml:space="preserve">‘No End to </w:t>
                </w:r>
                <w:proofErr w:type="spellStart"/>
                <w:r w:rsidRPr="001C092A">
                  <w:rPr>
                    <w:rFonts w:ascii="Times New Roman" w:hAnsi="Times New Roman" w:cs="Times New Roman"/>
                    <w:i/>
                  </w:rPr>
                  <w:t>Nosferatu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(1922).’</w:t>
                </w:r>
                <w:r w:rsidRPr="001C092A">
                  <w:rPr>
                    <w:rFonts w:ascii="Times New Roman" w:hAnsi="Times New Roman" w:cs="Times New Roman"/>
                  </w:rPr>
                  <w:t xml:space="preserve"> </w:t>
                </w:r>
                <w:r w:rsidRPr="001C092A">
                  <w:rPr>
                    <w:rFonts w:ascii="Times New Roman" w:hAnsi="Times New Roman" w:cs="Times New Roman"/>
                    <w:i/>
                  </w:rPr>
                  <w:t>An Essential Guide to Classic Films of the Era: Weimar Cinema</w:t>
                </w:r>
                <w:r>
                  <w:rPr>
                    <w:rFonts w:ascii="Times New Roman" w:hAnsi="Times New Roman" w:cs="Times New Roman"/>
                    <w:i/>
                  </w:rPr>
                  <w:t>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gramStart"/>
                <w:r>
                  <w:rPr>
                    <w:rFonts w:ascii="Times New Roman" w:hAnsi="Times New Roman" w:cs="Times New Roman"/>
                  </w:rPr>
                  <w:t>ed</w:t>
                </w:r>
                <w:proofErr w:type="gramEnd"/>
                <w:r>
                  <w:rPr>
                    <w:rFonts w:ascii="Times New Roman" w:hAnsi="Times New Roman" w:cs="Times New Roman"/>
                  </w:rPr>
                  <w:t xml:space="preserve">. </w:t>
                </w:r>
                <w:r w:rsidRPr="001C092A">
                  <w:rPr>
                    <w:rFonts w:ascii="Times New Roman" w:hAnsi="Times New Roman" w:cs="Times New Roman"/>
                  </w:rPr>
                  <w:t>Noah Isenberg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1C092A">
                  <w:rPr>
                    <w:rFonts w:ascii="Times New Roman" w:hAnsi="Times New Roman" w:cs="Times New Roman"/>
                  </w:rPr>
                  <w:t xml:space="preserve">New York: </w:t>
                </w:r>
                <w:r>
                  <w:rPr>
                    <w:rFonts w:ascii="Times New Roman" w:hAnsi="Times New Roman" w:cs="Times New Roman"/>
                  </w:rPr>
                  <w:t xml:space="preserve">Columbia UP, 2009. 79-94. </w:t>
                </w:r>
                <w:proofErr w:type="gramStart"/>
                <w:r>
                  <w:rPr>
                    <w:rFonts w:ascii="Times New Roman" w:hAnsi="Times New Roman" w:cs="Times New Roman"/>
                  </w:rPr>
                  <w:t>Print</w:t>
                </w:r>
                <w:proofErr w:type="gramEnd"/>
                <w:r>
                  <w:rPr>
                    <w:rFonts w:ascii="Times New Roman" w:hAnsi="Times New Roman" w:cs="Times New Roman"/>
                  </w:rPr>
                  <w:t xml:space="preserve">. </w:t>
                </w:r>
              </w:p>
              <w:p w:rsidR="00DD2DE6" w:rsidRPr="001C092A" w:rsidRDefault="00DD2DE6" w:rsidP="00DD2DE6">
                <w:pPr>
                  <w:rPr>
                    <w:rFonts w:ascii="Times New Roman" w:hAnsi="Times New Roman" w:cs="Times New Roman"/>
                  </w:rPr>
                </w:pPr>
              </w:p>
              <w:p w:rsidR="00DD2DE6" w:rsidRDefault="00DD2DE6" w:rsidP="00DD2DE6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Guillermo, G. P.  ‘</w:t>
                </w:r>
                <w:r w:rsidRPr="001C092A">
                  <w:rPr>
                    <w:rFonts w:ascii="Times New Roman" w:eastAsia="Times New Roman" w:hAnsi="Times New Roman" w:cs="Times New Roman"/>
                  </w:rPr>
                  <w:t>Shadow and Substa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nce: F. W.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Murnau’s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proofErr w:type="spellStart"/>
                <w:r w:rsidRPr="001C092A">
                  <w:rPr>
                    <w:rFonts w:ascii="Times New Roman" w:eastAsia="Times New Roman" w:hAnsi="Times New Roman" w:cs="Times New Roman"/>
                    <w:i/>
                  </w:rPr>
                  <w:t>Nosferatu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</w:rPr>
                  <w:t>’</w:t>
                </w:r>
                <w:r w:rsidRPr="001C092A"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1C092A">
                  <w:rPr>
                    <w:rFonts w:ascii="Times New Roman" w:eastAsia="Times New Roman" w:hAnsi="Times New Roman" w:cs="Times New Roman"/>
                    <w:i/>
                  </w:rPr>
                  <w:t>Sight and Sound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C4554D">
                  <w:rPr>
                    <w:rFonts w:ascii="Times New Roman" w:eastAsia="Times New Roman" w:hAnsi="Times New Roman" w:cs="Times New Roman"/>
                  </w:rPr>
                  <w:t>36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: </w:t>
                </w:r>
                <w:r w:rsidRPr="00C4554D">
                  <w:rPr>
                    <w:rFonts w:ascii="Times New Roman" w:eastAsia="Times New Roman" w:hAnsi="Times New Roman" w:cs="Times New Roman"/>
                  </w:rPr>
                  <w:t>3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(1967): </w:t>
                </w:r>
                <w:r w:rsidRPr="00C4554D">
                  <w:rPr>
                    <w:rFonts w:ascii="Times New Roman" w:eastAsia="Times New Roman" w:hAnsi="Times New Roman" w:cs="Times New Roman"/>
                  </w:rPr>
                  <w:t>150-159.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 Print. </w:t>
                </w:r>
              </w:p>
              <w:p w:rsidR="00DD2DE6" w:rsidRPr="00C4554D" w:rsidRDefault="00DD2DE6" w:rsidP="00DD2DE6">
                <w:pPr>
                  <w:rPr>
                    <w:rFonts w:ascii="Times New Roman" w:eastAsia="Times New Roman" w:hAnsi="Times New Roman" w:cs="Times New Roman"/>
                  </w:rPr>
                </w:pPr>
              </w:p>
              <w:p w:rsidR="00DD2DE6" w:rsidRPr="00C4554D" w:rsidRDefault="00DD2DE6" w:rsidP="00DD2DE6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C4554D">
                  <w:rPr>
                    <w:rFonts w:ascii="Times New Roman" w:eastAsia="Times New Roman" w:hAnsi="Times New Roman" w:cs="Times New Roman"/>
                  </w:rPr>
                  <w:t>Skal</w:t>
                </w:r>
                <w:proofErr w:type="spellEnd"/>
                <w:r w:rsidRPr="00C4554D">
                  <w:rPr>
                    <w:rFonts w:ascii="Times New Roman" w:eastAsia="Times New Roman" w:hAnsi="Times New Roman" w:cs="Times New Roman"/>
                  </w:rPr>
                  <w:t xml:space="preserve">, D. J. </w:t>
                </w:r>
                <w:r w:rsidRPr="00C4554D">
                  <w:rPr>
                    <w:rStyle w:val="Emphasis"/>
                    <w:rFonts w:ascii="Times New Roman" w:eastAsia="Times New Roman" w:hAnsi="Times New Roman" w:cs="Times New Roman"/>
                  </w:rPr>
                  <w:t xml:space="preserve">Hollywood Gothic: The Tangled Web of </w:t>
                </w:r>
                <w:r w:rsidRPr="00C4554D">
                  <w:rPr>
                    <w:rFonts w:ascii="Times New Roman" w:eastAsia="Times New Roman" w:hAnsi="Times New Roman" w:cs="Times New Roman"/>
                  </w:rPr>
                  <w:t xml:space="preserve">Dracula </w:t>
                </w:r>
                <w:r>
                  <w:rPr>
                    <w:rStyle w:val="Emphasis"/>
                    <w:rFonts w:ascii="Times New Roman" w:eastAsia="Times New Roman" w:hAnsi="Times New Roman" w:cs="Times New Roman"/>
                  </w:rPr>
                  <w:t>from Novel to Stage to Screen.</w:t>
                </w:r>
                <w:r w:rsidRPr="00C4554D">
                  <w:rPr>
                    <w:rStyle w:val="Emphasis"/>
                    <w:rFonts w:ascii="Times New Roman" w:eastAsia="Times New Roman" w:hAnsi="Times New Roman" w:cs="Times New Roma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New York: Faber and Faber,</w:t>
                </w:r>
                <w:r w:rsidRPr="00C4554D"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1990. Print. </w:t>
                </w:r>
              </w:p>
              <w:p w:rsidR="003235A7" w:rsidRDefault="00DD2DE6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DE6" w:rsidRDefault="00DD2DE6" w:rsidP="007A0D55">
      <w:pPr>
        <w:spacing w:after="0" w:line="240" w:lineRule="auto"/>
      </w:pPr>
      <w:r>
        <w:separator/>
      </w:r>
    </w:p>
  </w:endnote>
  <w:endnote w:type="continuationSeparator" w:id="0">
    <w:p w:rsidR="00DD2DE6" w:rsidRDefault="00DD2DE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DE6" w:rsidRDefault="00DD2DE6" w:rsidP="007A0D55">
      <w:pPr>
        <w:spacing w:after="0" w:line="240" w:lineRule="auto"/>
      </w:pPr>
      <w:r>
        <w:separator/>
      </w:r>
    </w:p>
  </w:footnote>
  <w:footnote w:type="continuationSeparator" w:id="0">
    <w:p w:rsidR="00DD2DE6" w:rsidRDefault="00DD2DE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DE6" w:rsidRDefault="00DD2DE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DD2DE6" w:rsidRDefault="00DD2D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E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1FEC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2DE6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2D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E6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D2DE6"/>
    <w:rPr>
      <w:i/>
      <w:iCs/>
    </w:rPr>
  </w:style>
  <w:style w:type="character" w:styleId="Hyperlink">
    <w:name w:val="Hyperlink"/>
    <w:basedOn w:val="DefaultParagraphFont"/>
    <w:uiPriority w:val="99"/>
    <w:unhideWhenUsed/>
    <w:rsid w:val="00561F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2D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E6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D2DE6"/>
    <w:rPr>
      <w:i/>
      <w:iCs/>
    </w:rPr>
  </w:style>
  <w:style w:type="character" w:styleId="Hyperlink">
    <w:name w:val="Hyperlink"/>
    <w:basedOn w:val="DefaultParagraphFont"/>
    <w:uiPriority w:val="99"/>
    <w:unhideWhenUsed/>
    <w:rsid w:val="00561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rcyzubFvBsA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reencine.com/static/primers/expressionism1.jsp" TargetMode="External"/><Relationship Id="rId9" Type="http://schemas.openxmlformats.org/officeDocument/2006/relationships/hyperlink" Target="http://www.litgothic.com/Authors/title.html" TargetMode="External"/><Relationship Id="rId10" Type="http://schemas.openxmlformats.org/officeDocument/2006/relationships/hyperlink" Target="http://www.princeton.edu/~achaney/tmve/wiki100k/docs/F._W._Murnau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DEDF430406E544B3E6900A18518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9072F-0EA2-8644-8C50-9B745CE59544}"/>
      </w:docPartPr>
      <w:docPartBody>
        <w:p w:rsidR="00000000" w:rsidRDefault="004E117A">
          <w:pPr>
            <w:pStyle w:val="91DEDF430406E544B3E6900A1851847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8C3A943CC57634D946B2608F6102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1FE6-9214-024B-A064-52CC22B9682A}"/>
      </w:docPartPr>
      <w:docPartBody>
        <w:p w:rsidR="00000000" w:rsidRDefault="004E117A">
          <w:pPr>
            <w:pStyle w:val="A8C3A943CC57634D946B2608F6102A3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7A5AA51241E4947A41B44D23AD4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5DBEB-D5D4-1248-B93E-23B24FF37D97}"/>
      </w:docPartPr>
      <w:docPartBody>
        <w:p w:rsidR="00000000" w:rsidRDefault="004E117A">
          <w:pPr>
            <w:pStyle w:val="07A5AA51241E4947A41B44D23AD448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DCADA54F83B74D86DDA35CA055D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B2F4C-E1BA-5641-8580-166C473C4ACA}"/>
      </w:docPartPr>
      <w:docPartBody>
        <w:p w:rsidR="00000000" w:rsidRDefault="004E117A">
          <w:pPr>
            <w:pStyle w:val="73DCADA54F83B74D86DDA35CA055DC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CF05205AD74D447B1902BE90DA7D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14ACE-C0E3-834B-8B7D-A25C29F1F42E}"/>
      </w:docPartPr>
      <w:docPartBody>
        <w:p w:rsidR="00000000" w:rsidRDefault="004E117A">
          <w:pPr>
            <w:pStyle w:val="3CF05205AD74D447B1902BE90DA7D39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726F3876507D748AFAB8437CFC85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347D4-46A1-CF48-9366-40F4C9F33BF6}"/>
      </w:docPartPr>
      <w:docPartBody>
        <w:p w:rsidR="00000000" w:rsidRDefault="004E117A">
          <w:pPr>
            <w:pStyle w:val="3726F3876507D748AFAB8437CFC851C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061313A002728448ED79732CB39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07F56-7C94-874B-9BF7-F086C5A4555B}"/>
      </w:docPartPr>
      <w:docPartBody>
        <w:p w:rsidR="00000000" w:rsidRDefault="004E117A">
          <w:pPr>
            <w:pStyle w:val="B061313A002728448ED79732CB396D2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A5007332D45346A7B0DEC937603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CB561-8FBF-454E-927A-DBA26CD69AF3}"/>
      </w:docPartPr>
      <w:docPartBody>
        <w:p w:rsidR="00000000" w:rsidRDefault="004E117A">
          <w:pPr>
            <w:pStyle w:val="02A5007332D45346A7B0DEC93760364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285650CA6EA274980B0F5B7D104C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6338-CEB0-AE4A-86FA-9C312FDEF1EA}"/>
      </w:docPartPr>
      <w:docPartBody>
        <w:p w:rsidR="00000000" w:rsidRDefault="004E117A">
          <w:pPr>
            <w:pStyle w:val="2285650CA6EA274980B0F5B7D104CB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B709B05A7AB3245BFB456C8E1B05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082F-72FD-EE47-9A98-697559ADB39A}"/>
      </w:docPartPr>
      <w:docPartBody>
        <w:p w:rsidR="00000000" w:rsidRDefault="004E117A">
          <w:pPr>
            <w:pStyle w:val="AB709B05A7AB3245BFB456C8E1B059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641E3741B21A641A9BE174C5B2FD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8E433-BD25-6E43-B411-254DA411B299}"/>
      </w:docPartPr>
      <w:docPartBody>
        <w:p w:rsidR="00000000" w:rsidRDefault="004E117A">
          <w:pPr>
            <w:pStyle w:val="8641E3741B21A641A9BE174C5B2FD9A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DEDF430406E544B3E6900A18518472">
    <w:name w:val="91DEDF430406E544B3E6900A18518472"/>
  </w:style>
  <w:style w:type="paragraph" w:customStyle="1" w:styleId="A8C3A943CC57634D946B2608F6102A3A">
    <w:name w:val="A8C3A943CC57634D946B2608F6102A3A"/>
  </w:style>
  <w:style w:type="paragraph" w:customStyle="1" w:styleId="07A5AA51241E4947A41B44D23AD44828">
    <w:name w:val="07A5AA51241E4947A41B44D23AD44828"/>
  </w:style>
  <w:style w:type="paragraph" w:customStyle="1" w:styleId="73DCADA54F83B74D86DDA35CA055DCD9">
    <w:name w:val="73DCADA54F83B74D86DDA35CA055DCD9"/>
  </w:style>
  <w:style w:type="paragraph" w:customStyle="1" w:styleId="3CF05205AD74D447B1902BE90DA7D391">
    <w:name w:val="3CF05205AD74D447B1902BE90DA7D391"/>
  </w:style>
  <w:style w:type="paragraph" w:customStyle="1" w:styleId="3726F3876507D748AFAB8437CFC851C3">
    <w:name w:val="3726F3876507D748AFAB8437CFC851C3"/>
  </w:style>
  <w:style w:type="paragraph" w:customStyle="1" w:styleId="B061313A002728448ED79732CB396D2C">
    <w:name w:val="B061313A002728448ED79732CB396D2C"/>
  </w:style>
  <w:style w:type="paragraph" w:customStyle="1" w:styleId="02A5007332D45346A7B0DEC937603646">
    <w:name w:val="02A5007332D45346A7B0DEC937603646"/>
  </w:style>
  <w:style w:type="paragraph" w:customStyle="1" w:styleId="2285650CA6EA274980B0F5B7D104CBD1">
    <w:name w:val="2285650CA6EA274980B0F5B7D104CBD1"/>
  </w:style>
  <w:style w:type="paragraph" w:customStyle="1" w:styleId="AB709B05A7AB3245BFB456C8E1B05923">
    <w:name w:val="AB709B05A7AB3245BFB456C8E1B05923"/>
  </w:style>
  <w:style w:type="paragraph" w:customStyle="1" w:styleId="8641E3741B21A641A9BE174C5B2FD9A0">
    <w:name w:val="8641E3741B21A641A9BE174C5B2FD9A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DEDF430406E544B3E6900A18518472">
    <w:name w:val="91DEDF430406E544B3E6900A18518472"/>
  </w:style>
  <w:style w:type="paragraph" w:customStyle="1" w:styleId="A8C3A943CC57634D946B2608F6102A3A">
    <w:name w:val="A8C3A943CC57634D946B2608F6102A3A"/>
  </w:style>
  <w:style w:type="paragraph" w:customStyle="1" w:styleId="07A5AA51241E4947A41B44D23AD44828">
    <w:name w:val="07A5AA51241E4947A41B44D23AD44828"/>
  </w:style>
  <w:style w:type="paragraph" w:customStyle="1" w:styleId="73DCADA54F83B74D86DDA35CA055DCD9">
    <w:name w:val="73DCADA54F83B74D86DDA35CA055DCD9"/>
  </w:style>
  <w:style w:type="paragraph" w:customStyle="1" w:styleId="3CF05205AD74D447B1902BE90DA7D391">
    <w:name w:val="3CF05205AD74D447B1902BE90DA7D391"/>
  </w:style>
  <w:style w:type="paragraph" w:customStyle="1" w:styleId="3726F3876507D748AFAB8437CFC851C3">
    <w:name w:val="3726F3876507D748AFAB8437CFC851C3"/>
  </w:style>
  <w:style w:type="paragraph" w:customStyle="1" w:styleId="B061313A002728448ED79732CB396D2C">
    <w:name w:val="B061313A002728448ED79732CB396D2C"/>
  </w:style>
  <w:style w:type="paragraph" w:customStyle="1" w:styleId="02A5007332D45346A7B0DEC937603646">
    <w:name w:val="02A5007332D45346A7B0DEC937603646"/>
  </w:style>
  <w:style w:type="paragraph" w:customStyle="1" w:styleId="2285650CA6EA274980B0F5B7D104CBD1">
    <w:name w:val="2285650CA6EA274980B0F5B7D104CBD1"/>
  </w:style>
  <w:style w:type="paragraph" w:customStyle="1" w:styleId="AB709B05A7AB3245BFB456C8E1B05923">
    <w:name w:val="AB709B05A7AB3245BFB456C8E1B05923"/>
  </w:style>
  <w:style w:type="paragraph" w:customStyle="1" w:styleId="8641E3741B21A641A9BE174C5B2FD9A0">
    <w:name w:val="8641E3741B21A641A9BE174C5B2FD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1</Pages>
  <Words>457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2014-07-25T19:09:00Z</dcterms:created>
  <dcterms:modified xsi:type="dcterms:W3CDTF">2014-07-25T19:27:00Z</dcterms:modified>
</cp:coreProperties>
</file>