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E34D0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BB023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3DDFBDB1650049A79F1FEA35CC91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D50B8A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8D01BC3DC54DD4E9FFA1544EA2653A7"/>
            </w:placeholder>
            <w:text/>
          </w:sdtPr>
          <w:sdtEndPr/>
          <w:sdtContent>
            <w:tc>
              <w:tcPr>
                <w:tcW w:w="2073" w:type="dxa"/>
              </w:tcPr>
              <w:p w14:paraId="6CC86269" w14:textId="77777777" w:rsidR="00B574C9" w:rsidRDefault="0059515E" w:rsidP="0059515E">
                <w:r>
                  <w:t xml:space="preserve">Mike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AB735BC80B95940BCE95B0924507C2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E7459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193C9F29D7594FB47C49AC3194EE17"/>
            </w:placeholder>
            <w:text/>
          </w:sdtPr>
          <w:sdtEndPr/>
          <w:sdtContent>
            <w:tc>
              <w:tcPr>
                <w:tcW w:w="2642" w:type="dxa"/>
              </w:tcPr>
              <w:p w14:paraId="309A20A6" w14:textId="77777777" w:rsidR="00B574C9" w:rsidRDefault="0059515E" w:rsidP="0059515E">
                <w:r>
                  <w:t>Dillon</w:t>
                </w:r>
              </w:p>
            </w:tc>
          </w:sdtContent>
        </w:sdt>
      </w:tr>
      <w:tr w:rsidR="00B574C9" w14:paraId="6F5F12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20F05B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5BB2FBCD9E1A439AA6FCB2D28774F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55C420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297D49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6290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5A503311EE98F478630E25E951EE5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94AB894" w14:textId="77777777" w:rsidR="00B574C9" w:rsidRDefault="0059515E" w:rsidP="0059515E">
                <w:r>
                  <w:t xml:space="preserve">University of Southern California </w:t>
                </w:r>
              </w:p>
            </w:tc>
          </w:sdtContent>
        </w:sdt>
      </w:tr>
    </w:tbl>
    <w:p w14:paraId="15C381F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C4BAD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5EBEA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3E5CB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8E5F588BA860945B0AA7831461C51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40064B" w14:textId="77777777" w:rsidR="003F0D73" w:rsidRPr="00FB589A" w:rsidRDefault="0059515E" w:rsidP="0059515E">
                <w:pPr>
                  <w:rPr>
                    <w:b/>
                  </w:rPr>
                </w:pPr>
                <w:r>
                  <w:rPr>
                    <w:b/>
                  </w:rPr>
                  <w:t>Rear Window</w:t>
                </w:r>
              </w:p>
            </w:tc>
          </w:sdtContent>
        </w:sdt>
      </w:tr>
      <w:tr w:rsidR="00464699" w14:paraId="67C854B4" w14:textId="77777777" w:rsidTr="0059515E">
        <w:sdt>
          <w:sdtPr>
            <w:alias w:val="Variant headwords"/>
            <w:tag w:val="variantHeadwords"/>
            <w:id w:val="173464402"/>
            <w:placeholder>
              <w:docPart w:val="C27570F6A520D141A2B30E9CCFC8A61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76A5E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9F90E4" w14:textId="77777777" w:rsidTr="003F0D73">
        <w:sdt>
          <w:sdtPr>
            <w:alias w:val="Abstract"/>
            <w:tag w:val="abstract"/>
            <w:id w:val="-635871867"/>
            <w:placeholder>
              <w:docPart w:val="937E1A9BA3E5D44E98C23A32F37E8946"/>
            </w:placeholder>
          </w:sdtPr>
          <w:sdtEndPr/>
          <w:sdtContent>
            <w:sdt>
              <w:sdtPr>
                <w:alias w:val="Article text"/>
                <w:tag w:val="articleText"/>
                <w:id w:val="2140523245"/>
                <w:placeholder>
                  <w:docPart w:val="1ABAA5EE2A4BE845B7DB987F6A8E2196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327662276"/>
                    <w:placeholder>
                      <w:docPart w:val="113A6ECE4A8FDF4BB5A15FAD5C9BC373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245241987"/>
                        <w:placeholder>
                          <w:docPart w:val="B1CBFE751908634996A832D0195A9104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5AD9CB61" w14:textId="77777777" w:rsidR="002414C7" w:rsidRPr="0050783A" w:rsidRDefault="002414C7" w:rsidP="002414C7">
                            <w:r w:rsidRPr="0050783A">
                              <w:rPr>
                                <w:i/>
                              </w:rPr>
                              <w:t>Rear Window</w:t>
                            </w:r>
                            <w:r w:rsidRPr="0050783A">
                              <w:t xml:space="preserve"> is a 1955 suspense film directed by Alfred Hitchcock and written by </w:t>
                            </w:r>
                          </w:p>
                          <w:p w14:paraId="0B6674E8" w14:textId="705C2333" w:rsidR="00E85A05" w:rsidRDefault="002414C7" w:rsidP="002414C7">
                            <w:r w:rsidRPr="0050783A">
                              <w:t>John Michael Haye</w:t>
                            </w:r>
                            <w:r>
                              <w:t>s, who adapted the short story ‘It Had to Be Murder’ by Cornell Woolrich. S</w:t>
                            </w:r>
                            <w:r w:rsidRPr="0050783A">
                              <w:t>tar</w:t>
                            </w:r>
                            <w:r>
                              <w:t>ring</w:t>
                            </w:r>
                            <w:r w:rsidRPr="0050783A">
                              <w:t xml:space="preserve"> James Stewart, Grace Kelly, Thelma Ritter, Wendell Corey, and Raymond Burr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Rear Window</w:t>
                            </w:r>
                            <w:r w:rsidRPr="0050783A">
                              <w:t xml:space="preserve"> is widely </w:t>
                            </w:r>
                            <w:r>
                              <w:t xml:space="preserve">considered </w:t>
                            </w:r>
                            <w:r w:rsidRPr="0050783A">
                              <w:t xml:space="preserve">to be one </w:t>
                            </w:r>
                            <w:r>
                              <w:t>of Hitchcock’s greatest films. The plot centres on L.B. ‘Jeff’</w:t>
                            </w:r>
                            <w:r w:rsidRPr="0050783A">
                              <w:t xml:space="preserve"> Jeffries (Stewart), a photographer with a broken leg, who spies on his neighbours to pass the time</w:t>
                            </w:r>
                            <w:r>
                              <w:t xml:space="preserve">. Over time, Jeff </w:t>
                            </w:r>
                            <w:r w:rsidRPr="0050783A">
                              <w:t xml:space="preserve">begins to suspect </w:t>
                            </w:r>
                            <w:r>
                              <w:t xml:space="preserve">that his neighbour, Thorwald, has murdered his wife. </w:t>
                            </w:r>
                            <w:r w:rsidRPr="0050783A">
                              <w:t>Filmed on a single, enormous set, it is notable for its limited use of perspectives (with virtually every shot originating from inside Jeff’s apartment)</w:t>
                            </w:r>
                            <w:r>
                              <w:t>,</w:t>
                            </w:r>
                            <w:r w:rsidRPr="0050783A">
                              <w:t xml:space="preserve"> and </w:t>
                            </w:r>
                            <w:r>
                              <w:t xml:space="preserve">its </w:t>
                            </w:r>
                            <w:r w:rsidRPr="0050783A">
                              <w:t xml:space="preserve">reliance on diegetic music and sound. Analyses of </w:t>
                            </w:r>
                            <w:r w:rsidRPr="0050783A">
                              <w:rPr>
                                <w:i/>
                              </w:rPr>
                              <w:t>Rear Window</w:t>
                            </w:r>
                            <w:r w:rsidRPr="0050783A">
                              <w:t xml:space="preserve"> often focus o</w:t>
                            </w:r>
                            <w:bookmarkStart w:id="0" w:name="_GoBack"/>
                            <w:bookmarkEnd w:id="0"/>
                            <w:r w:rsidRPr="0050783A">
                              <w:t>n the ways Jeff’s voyeurism and obsession (</w:t>
                            </w:r>
                            <w:r>
                              <w:t xml:space="preserve">both </w:t>
                            </w:r>
                            <w:r w:rsidRPr="0050783A">
                              <w:t>recurring themes in Hitchcock’s works) self-reflexively invoke the association</w:t>
                            </w:r>
                            <w:r>
                              <w:t xml:space="preserve"> between cinema and spectator. </w:t>
                            </w:r>
                            <w:r w:rsidRPr="0050783A">
                              <w:t>Jeff’s window becomes a metaphorical screen through which he finds vicari</w:t>
                            </w:r>
                            <w:r>
                              <w:t xml:space="preserve">ous pleasures in the unfolding ‘stories’ of his neighbours. The film’s gender relations — </w:t>
                            </w:r>
                            <w:r w:rsidRPr="0050783A">
                              <w:t xml:space="preserve">including Jeff’s troubled relationship </w:t>
                            </w:r>
                            <w:r>
                              <w:t>with</w:t>
                            </w:r>
                            <w:r w:rsidRPr="0050783A">
                              <w:t xml:space="preserve"> his girlfriend Lisa (Kelly)</w:t>
                            </w:r>
                            <w:r>
                              <w:t>,</w:t>
                            </w:r>
                            <w:r w:rsidRPr="0050783A">
                              <w:t xml:space="preserve"> and the numerous relationships visible to him in the apartment complex – have generated </w:t>
                            </w:r>
                            <w:r>
                              <w:t xml:space="preserve">a wide range of </w:t>
                            </w:r>
                            <w:r w:rsidRPr="0050783A">
                              <w:t xml:space="preserve">feminist interpretations </w:t>
                            </w:r>
                            <w:r>
                              <w:t>about</w:t>
                            </w:r>
                            <w:r w:rsidRPr="0050783A">
                              <w:t xml:space="preserve"> cinematic spectatorship.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F0D73" w14:paraId="44B9F378" w14:textId="77777777" w:rsidTr="003F0D73">
        <w:sdt>
          <w:sdtPr>
            <w:alias w:val="Article text"/>
            <w:tag w:val="articleText"/>
            <w:id w:val="634067588"/>
            <w:placeholder>
              <w:docPart w:val="29D851771E6C8B49B38AF14046350FA4"/>
            </w:placeholder>
          </w:sdtPr>
          <w:sdtEndPr/>
          <w:sdtContent>
            <w:sdt>
              <w:sdtPr>
                <w:alias w:val="Article text"/>
                <w:tag w:val="articleText"/>
                <w:id w:val="-1318803415"/>
                <w:placeholder>
                  <w:docPart w:val="BAB65800D54196459B5B54E6A410EB3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084D5E5" w14:textId="77777777" w:rsidR="002F3EE6" w:rsidRPr="0050783A" w:rsidRDefault="002F3EE6" w:rsidP="002F3EE6">
                    <w:r w:rsidRPr="0050783A">
                      <w:rPr>
                        <w:i/>
                      </w:rPr>
                      <w:t>Rear Window</w:t>
                    </w:r>
                    <w:r w:rsidRPr="0050783A">
                      <w:t xml:space="preserve"> is a 1955 suspense film directed by Alfred Hitchcock and written by </w:t>
                    </w:r>
                  </w:p>
                  <w:p w14:paraId="69AA48DB" w14:textId="2955595A" w:rsidR="003F0D73" w:rsidRDefault="002F3EE6" w:rsidP="002F3EE6">
                    <w:r w:rsidRPr="0050783A">
                      <w:t>John Michael Haye</w:t>
                    </w:r>
                    <w:r>
                      <w:t>s, who adapted the short story ‘It Had to Be Murder’ by Cornell Woolrich. S</w:t>
                    </w:r>
                    <w:r w:rsidRPr="0050783A">
                      <w:t>tar</w:t>
                    </w:r>
                    <w:r>
                      <w:t>ring</w:t>
                    </w:r>
                    <w:r w:rsidRPr="0050783A">
                      <w:t xml:space="preserve"> James Stewart, Grace Kelly, Thelma Ritter, Wendell Corey, and Raymond Burr</w:t>
                    </w:r>
                    <w:r>
                      <w:t xml:space="preserve">, </w:t>
                    </w:r>
                    <w:r>
                      <w:rPr>
                        <w:i/>
                      </w:rPr>
                      <w:t>Rear Window</w:t>
                    </w:r>
                    <w:r w:rsidRPr="0050783A">
                      <w:t xml:space="preserve"> is widely </w:t>
                    </w:r>
                    <w:r>
                      <w:t xml:space="preserve">considered </w:t>
                    </w:r>
                    <w:r w:rsidRPr="0050783A">
                      <w:t xml:space="preserve">to be one </w:t>
                    </w:r>
                    <w:r>
                      <w:t>of Hitchcock’s greatest films. The plot centres on L.B. ‘Jeff’</w:t>
                    </w:r>
                    <w:r w:rsidRPr="0050783A">
                      <w:t xml:space="preserve"> Jeffries (Stewart), a photographer with a broken leg, who spies on his neighbours to pass the time</w:t>
                    </w:r>
                    <w:r>
                      <w:t xml:space="preserve">. Over time, Jeff </w:t>
                    </w:r>
                    <w:r w:rsidRPr="0050783A">
                      <w:t xml:space="preserve">begins to suspect </w:t>
                    </w:r>
                    <w:r>
                      <w:t xml:space="preserve">that his neighbour, Thorwald, has murdered his wife. </w:t>
                    </w:r>
                    <w:r w:rsidRPr="0050783A">
                      <w:t>Filmed on a single, enormous set, it is notable for its limited use of perspectives (with virtually every shot originating from inside Jeff’s apartment)</w:t>
                    </w:r>
                    <w:r>
                      <w:t>,</w:t>
                    </w:r>
                    <w:r w:rsidRPr="0050783A">
                      <w:t xml:space="preserve"> and </w:t>
                    </w:r>
                    <w:r>
                      <w:t xml:space="preserve">its </w:t>
                    </w:r>
                    <w:r w:rsidRPr="0050783A">
                      <w:t xml:space="preserve">reliance on diegetic music and sound. Analyses of </w:t>
                    </w:r>
                    <w:r w:rsidRPr="0050783A">
                      <w:rPr>
                        <w:i/>
                      </w:rPr>
                      <w:t>Rear Window</w:t>
                    </w:r>
                    <w:r w:rsidRPr="0050783A">
                      <w:t xml:space="preserve"> often focus on the ways Jeff’s voyeurism and obsession (</w:t>
                    </w:r>
                    <w:r>
                      <w:t xml:space="preserve">both </w:t>
                    </w:r>
                    <w:r w:rsidRPr="0050783A">
                      <w:t>recurring themes in Hitchcock’s works) self-reflexively invoke the association</w:t>
                    </w:r>
                    <w:r>
                      <w:t xml:space="preserve"> between cinema and spectator. </w:t>
                    </w:r>
                    <w:r w:rsidRPr="0050783A">
                      <w:t>Jeff’s window becomes a metaphorical screen through which he finds vicari</w:t>
                    </w:r>
                    <w:r>
                      <w:t xml:space="preserve">ous pleasures in the unfolding ‘stories’ of his neighbours. The film’s gender relations — </w:t>
                    </w:r>
                    <w:r w:rsidRPr="0050783A">
                      <w:t xml:space="preserve">including Jeff’s troubled relationship </w:t>
                    </w:r>
                    <w:r>
                      <w:t>with</w:t>
                    </w:r>
                    <w:r w:rsidRPr="0050783A">
                      <w:t xml:space="preserve"> his girlfriend Lisa (Kelly)</w:t>
                    </w:r>
                    <w:r>
                      <w:t>,</w:t>
                    </w:r>
                    <w:r w:rsidRPr="0050783A">
                      <w:t xml:space="preserve"> and the numerous relationships visible to him in the apartment complex – have generated </w:t>
                    </w:r>
                    <w:r>
                      <w:t xml:space="preserve">a wide range of </w:t>
                    </w:r>
                    <w:r w:rsidRPr="0050783A">
                      <w:t xml:space="preserve">feminist interpretations </w:t>
                    </w:r>
                    <w:r>
                      <w:t>about</w:t>
                    </w:r>
                    <w:r w:rsidRPr="0050783A">
                      <w:t xml:space="preserve"> cinematic spectatorship.</w:t>
                    </w:r>
                  </w:p>
                </w:tc>
              </w:sdtContent>
            </w:sdt>
          </w:sdtContent>
        </w:sdt>
      </w:tr>
      <w:tr w:rsidR="003235A7" w14:paraId="406ACF50" w14:textId="77777777" w:rsidTr="003235A7">
        <w:tc>
          <w:tcPr>
            <w:tcW w:w="9016" w:type="dxa"/>
          </w:tcPr>
          <w:p w14:paraId="2CBE0A6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AF146F2" w14:textId="2DFA57B0" w:rsidR="0061017C" w:rsidRDefault="002414C7" w:rsidP="008A5B87">
            <w:sdt>
              <w:sdtPr>
                <w:id w:val="1087424022"/>
                <w:citation/>
              </w:sdtPr>
              <w:sdtEndPr/>
              <w:sdtContent>
                <w:r w:rsidR="0061017C">
                  <w:fldChar w:fldCharType="begin"/>
                </w:r>
                <w:r w:rsidR="0061017C">
                  <w:rPr>
                    <w:lang w:val="en-US"/>
                  </w:rPr>
                  <w:instrText xml:space="preserve"> CITATION Joh00 \l 1033 </w:instrText>
                </w:r>
                <w:r w:rsidR="0061017C">
                  <w:fldChar w:fldCharType="separate"/>
                </w:r>
                <w:r w:rsidR="0061017C" w:rsidRPr="0061017C">
                  <w:rPr>
                    <w:noProof/>
                    <w:lang w:val="en-US"/>
                  </w:rPr>
                  <w:t>(Belton)</w:t>
                </w:r>
                <w:r w:rsidR="0061017C">
                  <w:fldChar w:fldCharType="end"/>
                </w:r>
              </w:sdtContent>
            </w:sdt>
          </w:p>
          <w:p w14:paraId="553B9408" w14:textId="77777777" w:rsidR="0061017C" w:rsidRDefault="0061017C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4EF6E65" w14:textId="34A372E8" w:rsidR="003235A7" w:rsidRDefault="00077882" w:rsidP="00FB11DE">
                <w:r>
                  <w:t xml:space="preserve"> </w:t>
                </w:r>
                <w:sdt>
                  <w:sdtPr>
                    <w:id w:val="1834480847"/>
                    <w:citation/>
                  </w:sdtPr>
                  <w:sdtEndPr/>
                  <w:sdtContent>
                    <w:r w:rsidR="0061017C">
                      <w:fldChar w:fldCharType="begin"/>
                    </w:r>
                    <w:r w:rsidR="0061017C">
                      <w:rPr>
                        <w:lang w:val="en-US"/>
                      </w:rPr>
                      <w:instrText xml:space="preserve"> CITATION Tan88 \l 1033 </w:instrText>
                    </w:r>
                    <w:r w:rsidR="0061017C">
                      <w:fldChar w:fldCharType="separate"/>
                    </w:r>
                    <w:r w:rsidR="0061017C" w:rsidRPr="0061017C">
                      <w:rPr>
                        <w:noProof/>
                        <w:lang w:val="en-US"/>
                      </w:rPr>
                      <w:t>(Modleski)</w:t>
                    </w:r>
                    <w:r w:rsidR="0061017C">
                      <w:fldChar w:fldCharType="end"/>
                    </w:r>
                  </w:sdtContent>
                </w:sdt>
              </w:p>
            </w:sdtContent>
          </w:sdt>
        </w:tc>
      </w:tr>
    </w:tbl>
    <w:p w14:paraId="5CA019D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26EEF" w14:textId="77777777" w:rsidR="0059515E" w:rsidRDefault="0059515E" w:rsidP="007A0D55">
      <w:pPr>
        <w:spacing w:after="0" w:line="240" w:lineRule="auto"/>
      </w:pPr>
      <w:r>
        <w:separator/>
      </w:r>
    </w:p>
  </w:endnote>
  <w:endnote w:type="continuationSeparator" w:id="0">
    <w:p w14:paraId="3CAD06D9" w14:textId="77777777" w:rsidR="0059515E" w:rsidRDefault="005951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CF90C" w14:textId="77777777" w:rsidR="0059515E" w:rsidRDefault="0059515E" w:rsidP="007A0D55">
      <w:pPr>
        <w:spacing w:after="0" w:line="240" w:lineRule="auto"/>
      </w:pPr>
      <w:r>
        <w:separator/>
      </w:r>
    </w:p>
  </w:footnote>
  <w:footnote w:type="continuationSeparator" w:id="0">
    <w:p w14:paraId="68EDA04D" w14:textId="77777777" w:rsidR="0059515E" w:rsidRDefault="005951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EC3F0" w14:textId="77777777" w:rsidR="0059515E" w:rsidRDefault="00595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A2F8542" w14:textId="77777777" w:rsidR="0059515E" w:rsidRDefault="00595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5E"/>
    <w:rsid w:val="00032559"/>
    <w:rsid w:val="00052040"/>
    <w:rsid w:val="0007788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2D44"/>
    <w:rsid w:val="00225C5A"/>
    <w:rsid w:val="00230B10"/>
    <w:rsid w:val="00234353"/>
    <w:rsid w:val="002414C7"/>
    <w:rsid w:val="00244BB0"/>
    <w:rsid w:val="002A0A0D"/>
    <w:rsid w:val="002B0B37"/>
    <w:rsid w:val="002F3EE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693D"/>
    <w:rsid w:val="00590035"/>
    <w:rsid w:val="0059515E"/>
    <w:rsid w:val="005A4EFC"/>
    <w:rsid w:val="005B177E"/>
    <w:rsid w:val="005B3921"/>
    <w:rsid w:val="005D5C9E"/>
    <w:rsid w:val="005F26D7"/>
    <w:rsid w:val="005F5450"/>
    <w:rsid w:val="0061017C"/>
    <w:rsid w:val="00673252"/>
    <w:rsid w:val="006D0412"/>
    <w:rsid w:val="007152B0"/>
    <w:rsid w:val="007411B9"/>
    <w:rsid w:val="00764EC0"/>
    <w:rsid w:val="00780D95"/>
    <w:rsid w:val="00780DC7"/>
    <w:rsid w:val="007A0D55"/>
    <w:rsid w:val="007B3377"/>
    <w:rsid w:val="007E5F44"/>
    <w:rsid w:val="007F2DC3"/>
    <w:rsid w:val="00821DE3"/>
    <w:rsid w:val="008304B4"/>
    <w:rsid w:val="00832792"/>
    <w:rsid w:val="00846196"/>
    <w:rsid w:val="00846CE1"/>
    <w:rsid w:val="008A5B87"/>
    <w:rsid w:val="00922950"/>
    <w:rsid w:val="009314C5"/>
    <w:rsid w:val="0098137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919"/>
    <w:rsid w:val="00B33145"/>
    <w:rsid w:val="00B574C9"/>
    <w:rsid w:val="00BC39C9"/>
    <w:rsid w:val="00BD73CA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2558"/>
    <w:rsid w:val="00D95BDF"/>
    <w:rsid w:val="00DC6B48"/>
    <w:rsid w:val="00DF01B0"/>
    <w:rsid w:val="00E85A05"/>
    <w:rsid w:val="00E939C5"/>
    <w:rsid w:val="00E95829"/>
    <w:rsid w:val="00EA606C"/>
    <w:rsid w:val="00EB0C8C"/>
    <w:rsid w:val="00EB51FD"/>
    <w:rsid w:val="00EB77DB"/>
    <w:rsid w:val="00ED139F"/>
    <w:rsid w:val="00EF5699"/>
    <w:rsid w:val="00EF74F7"/>
    <w:rsid w:val="00F3508F"/>
    <w:rsid w:val="00F36937"/>
    <w:rsid w:val="00F572ED"/>
    <w:rsid w:val="00F60F53"/>
    <w:rsid w:val="00F97B5E"/>
    <w:rsid w:val="00FA1925"/>
    <w:rsid w:val="00FB11DE"/>
    <w:rsid w:val="00FB589A"/>
    <w:rsid w:val="00FB7317"/>
    <w:rsid w:val="00FB7E2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0F2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1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51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3DDFBDB1650049A79F1FEA35CC9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7DD05-FF35-0243-B8A7-9FD0EA6DED35}"/>
      </w:docPartPr>
      <w:docPartBody>
        <w:p w:rsidR="00A54570" w:rsidRDefault="00A54570">
          <w:pPr>
            <w:pStyle w:val="7F3DDFBDB1650049A79F1FEA35CC91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D01BC3DC54DD4E9FFA1544EA265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121E0-31FE-0E4C-8ABD-3BD46A42192A}"/>
      </w:docPartPr>
      <w:docPartBody>
        <w:p w:rsidR="00A54570" w:rsidRDefault="00A54570">
          <w:pPr>
            <w:pStyle w:val="58D01BC3DC54DD4E9FFA1544EA2653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AB735BC80B95940BCE95B0924507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7B51-9867-D645-898C-53D9389641ED}"/>
      </w:docPartPr>
      <w:docPartBody>
        <w:p w:rsidR="00A54570" w:rsidRDefault="00A54570">
          <w:pPr>
            <w:pStyle w:val="EAB735BC80B95940BCE95B0924507C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193C9F29D7594FB47C49AC3194E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5E1B5-335C-5948-AC8F-0C32A4C1E9A2}"/>
      </w:docPartPr>
      <w:docPartBody>
        <w:p w:rsidR="00A54570" w:rsidRDefault="00A54570">
          <w:pPr>
            <w:pStyle w:val="35193C9F29D7594FB47C49AC3194EE1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5BB2FBCD9E1A439AA6FCB2D2877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8036C-70E5-1E4E-9578-9DD5700FCF8F}"/>
      </w:docPartPr>
      <w:docPartBody>
        <w:p w:rsidR="00A54570" w:rsidRDefault="00A54570">
          <w:pPr>
            <w:pStyle w:val="C35BB2FBCD9E1A439AA6FCB2D28774F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5A503311EE98F478630E25E951EE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82F68-A8D8-9E4F-9FBB-E9F9DAC9507E}"/>
      </w:docPartPr>
      <w:docPartBody>
        <w:p w:rsidR="00A54570" w:rsidRDefault="00A54570">
          <w:pPr>
            <w:pStyle w:val="F5A503311EE98F478630E25E951EE5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E5F588BA860945B0AA7831461C5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56F67-D61F-D54F-8E76-9FDD814FC31B}"/>
      </w:docPartPr>
      <w:docPartBody>
        <w:p w:rsidR="00A54570" w:rsidRDefault="00A54570">
          <w:pPr>
            <w:pStyle w:val="B8E5F588BA860945B0AA7831461C51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27570F6A520D141A2B30E9CCFC8A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B7595-BF41-6847-8EBE-A02FD9E7C049}"/>
      </w:docPartPr>
      <w:docPartBody>
        <w:p w:rsidR="00A54570" w:rsidRDefault="00A54570">
          <w:pPr>
            <w:pStyle w:val="C27570F6A520D141A2B30E9CCFC8A61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37E1A9BA3E5D44E98C23A32F37E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3DA4A-398E-3B45-AED4-55AB9A7B668C}"/>
      </w:docPartPr>
      <w:docPartBody>
        <w:p w:rsidR="00A54570" w:rsidRDefault="00A54570">
          <w:pPr>
            <w:pStyle w:val="937E1A9BA3E5D44E98C23A32F37E89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9D851771E6C8B49B38AF14046350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2F1A-89A9-1B43-B180-70E50D78755F}"/>
      </w:docPartPr>
      <w:docPartBody>
        <w:p w:rsidR="00A54570" w:rsidRDefault="00A54570">
          <w:pPr>
            <w:pStyle w:val="29D851771E6C8B49B38AF14046350FA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ABAA5EE2A4BE845B7DB987F6A8E2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1FA1B-F5FB-2D4E-B00F-A33E357427D2}"/>
      </w:docPartPr>
      <w:docPartBody>
        <w:p w:rsidR="00000000" w:rsidRDefault="00B63207" w:rsidP="00B63207">
          <w:pPr>
            <w:pStyle w:val="1ABAA5EE2A4BE845B7DB987F6A8E21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AB65800D54196459B5B54E6A410E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930D0-CAF9-B141-ABA9-B16DFFAB7495}"/>
      </w:docPartPr>
      <w:docPartBody>
        <w:p w:rsidR="00000000" w:rsidRDefault="00B63207" w:rsidP="00B63207">
          <w:pPr>
            <w:pStyle w:val="BAB65800D54196459B5B54E6A410EB3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13A6ECE4A8FDF4BB5A15FAD5C9B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5A8D7-39F7-D14D-BE1F-EE97902D4195}"/>
      </w:docPartPr>
      <w:docPartBody>
        <w:p w:rsidR="00000000" w:rsidRDefault="00B63207" w:rsidP="00B63207">
          <w:pPr>
            <w:pStyle w:val="113A6ECE4A8FDF4BB5A15FAD5C9BC37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1CBFE751908634996A832D0195A9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2790-154A-744F-A355-E004351493E0}"/>
      </w:docPartPr>
      <w:docPartBody>
        <w:p w:rsidR="00000000" w:rsidRDefault="00B63207" w:rsidP="00B63207">
          <w:pPr>
            <w:pStyle w:val="B1CBFE751908634996A832D0195A91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70"/>
    <w:rsid w:val="00A54570"/>
    <w:rsid w:val="00B6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207"/>
    <w:rPr>
      <w:color w:val="808080"/>
    </w:rPr>
  </w:style>
  <w:style w:type="paragraph" w:customStyle="1" w:styleId="7F3DDFBDB1650049A79F1FEA35CC9117">
    <w:name w:val="7F3DDFBDB1650049A79F1FEA35CC9117"/>
  </w:style>
  <w:style w:type="paragraph" w:customStyle="1" w:styleId="58D01BC3DC54DD4E9FFA1544EA2653A7">
    <w:name w:val="58D01BC3DC54DD4E9FFA1544EA2653A7"/>
  </w:style>
  <w:style w:type="paragraph" w:customStyle="1" w:styleId="EAB735BC80B95940BCE95B0924507C28">
    <w:name w:val="EAB735BC80B95940BCE95B0924507C28"/>
  </w:style>
  <w:style w:type="paragraph" w:customStyle="1" w:styleId="35193C9F29D7594FB47C49AC3194EE17">
    <w:name w:val="35193C9F29D7594FB47C49AC3194EE17"/>
  </w:style>
  <w:style w:type="paragraph" w:customStyle="1" w:styleId="C35BB2FBCD9E1A439AA6FCB2D28774F7">
    <w:name w:val="C35BB2FBCD9E1A439AA6FCB2D28774F7"/>
  </w:style>
  <w:style w:type="paragraph" w:customStyle="1" w:styleId="F5A503311EE98F478630E25E951EE533">
    <w:name w:val="F5A503311EE98F478630E25E951EE533"/>
  </w:style>
  <w:style w:type="paragraph" w:customStyle="1" w:styleId="B8E5F588BA860945B0AA7831461C5145">
    <w:name w:val="B8E5F588BA860945B0AA7831461C5145"/>
  </w:style>
  <w:style w:type="paragraph" w:customStyle="1" w:styleId="C27570F6A520D141A2B30E9CCFC8A61C">
    <w:name w:val="C27570F6A520D141A2B30E9CCFC8A61C"/>
  </w:style>
  <w:style w:type="paragraph" w:customStyle="1" w:styleId="937E1A9BA3E5D44E98C23A32F37E8946">
    <w:name w:val="937E1A9BA3E5D44E98C23A32F37E8946"/>
  </w:style>
  <w:style w:type="paragraph" w:customStyle="1" w:styleId="29D851771E6C8B49B38AF14046350FA4">
    <w:name w:val="29D851771E6C8B49B38AF14046350FA4"/>
  </w:style>
  <w:style w:type="paragraph" w:customStyle="1" w:styleId="B96506FA86655247884EBC939BC206BD">
    <w:name w:val="B96506FA86655247884EBC939BC206BD"/>
  </w:style>
  <w:style w:type="paragraph" w:customStyle="1" w:styleId="1ABAA5EE2A4BE845B7DB987F6A8E2196">
    <w:name w:val="1ABAA5EE2A4BE845B7DB987F6A8E2196"/>
    <w:rsid w:val="00B63207"/>
    <w:rPr>
      <w:lang w:val="en-CA"/>
    </w:rPr>
  </w:style>
  <w:style w:type="paragraph" w:customStyle="1" w:styleId="BAB65800D54196459B5B54E6A410EB31">
    <w:name w:val="BAB65800D54196459B5B54E6A410EB31"/>
    <w:rsid w:val="00B63207"/>
    <w:rPr>
      <w:lang w:val="en-CA"/>
    </w:rPr>
  </w:style>
  <w:style w:type="paragraph" w:customStyle="1" w:styleId="113A6ECE4A8FDF4BB5A15FAD5C9BC373">
    <w:name w:val="113A6ECE4A8FDF4BB5A15FAD5C9BC373"/>
    <w:rsid w:val="00B63207"/>
    <w:rPr>
      <w:lang w:val="en-CA"/>
    </w:rPr>
  </w:style>
  <w:style w:type="paragraph" w:customStyle="1" w:styleId="B1CBFE751908634996A832D0195A9104">
    <w:name w:val="B1CBFE751908634996A832D0195A9104"/>
    <w:rsid w:val="00B6320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207"/>
    <w:rPr>
      <w:color w:val="808080"/>
    </w:rPr>
  </w:style>
  <w:style w:type="paragraph" w:customStyle="1" w:styleId="7F3DDFBDB1650049A79F1FEA35CC9117">
    <w:name w:val="7F3DDFBDB1650049A79F1FEA35CC9117"/>
  </w:style>
  <w:style w:type="paragraph" w:customStyle="1" w:styleId="58D01BC3DC54DD4E9FFA1544EA2653A7">
    <w:name w:val="58D01BC3DC54DD4E9FFA1544EA2653A7"/>
  </w:style>
  <w:style w:type="paragraph" w:customStyle="1" w:styleId="EAB735BC80B95940BCE95B0924507C28">
    <w:name w:val="EAB735BC80B95940BCE95B0924507C28"/>
  </w:style>
  <w:style w:type="paragraph" w:customStyle="1" w:styleId="35193C9F29D7594FB47C49AC3194EE17">
    <w:name w:val="35193C9F29D7594FB47C49AC3194EE17"/>
  </w:style>
  <w:style w:type="paragraph" w:customStyle="1" w:styleId="C35BB2FBCD9E1A439AA6FCB2D28774F7">
    <w:name w:val="C35BB2FBCD9E1A439AA6FCB2D28774F7"/>
  </w:style>
  <w:style w:type="paragraph" w:customStyle="1" w:styleId="F5A503311EE98F478630E25E951EE533">
    <w:name w:val="F5A503311EE98F478630E25E951EE533"/>
  </w:style>
  <w:style w:type="paragraph" w:customStyle="1" w:styleId="B8E5F588BA860945B0AA7831461C5145">
    <w:name w:val="B8E5F588BA860945B0AA7831461C5145"/>
  </w:style>
  <w:style w:type="paragraph" w:customStyle="1" w:styleId="C27570F6A520D141A2B30E9CCFC8A61C">
    <w:name w:val="C27570F6A520D141A2B30E9CCFC8A61C"/>
  </w:style>
  <w:style w:type="paragraph" w:customStyle="1" w:styleId="937E1A9BA3E5D44E98C23A32F37E8946">
    <w:name w:val="937E1A9BA3E5D44E98C23A32F37E8946"/>
  </w:style>
  <w:style w:type="paragraph" w:customStyle="1" w:styleId="29D851771E6C8B49B38AF14046350FA4">
    <w:name w:val="29D851771E6C8B49B38AF14046350FA4"/>
  </w:style>
  <w:style w:type="paragraph" w:customStyle="1" w:styleId="B96506FA86655247884EBC939BC206BD">
    <w:name w:val="B96506FA86655247884EBC939BC206BD"/>
  </w:style>
  <w:style w:type="paragraph" w:customStyle="1" w:styleId="1ABAA5EE2A4BE845B7DB987F6A8E2196">
    <w:name w:val="1ABAA5EE2A4BE845B7DB987F6A8E2196"/>
    <w:rsid w:val="00B63207"/>
    <w:rPr>
      <w:lang w:val="en-CA"/>
    </w:rPr>
  </w:style>
  <w:style w:type="paragraph" w:customStyle="1" w:styleId="BAB65800D54196459B5B54E6A410EB31">
    <w:name w:val="BAB65800D54196459B5B54E6A410EB31"/>
    <w:rsid w:val="00B63207"/>
    <w:rPr>
      <w:lang w:val="en-CA"/>
    </w:rPr>
  </w:style>
  <w:style w:type="paragraph" w:customStyle="1" w:styleId="113A6ECE4A8FDF4BB5A15FAD5C9BC373">
    <w:name w:val="113A6ECE4A8FDF4BB5A15FAD5C9BC373"/>
    <w:rsid w:val="00B63207"/>
    <w:rPr>
      <w:lang w:val="en-CA"/>
    </w:rPr>
  </w:style>
  <w:style w:type="paragraph" w:customStyle="1" w:styleId="B1CBFE751908634996A832D0195A9104">
    <w:name w:val="B1CBFE751908634996A832D0195A9104"/>
    <w:rsid w:val="00B6320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Joh00</b:Tag>
    <b:SourceType>Book</b:SourceType>
    <b:Guid>{EA5D209A-83BC-474C-94A6-7992048AA29A}</b:Guid>
    <b:Author>
      <b:Author>
        <b:NameList>
          <b:Person>
            <b:Last>Belton</b:Last>
            <b:First>John</b:First>
          </b:Person>
        </b:NameList>
      </b:Author>
    </b:Author>
    <b:Title>Alfred Hitchcock's Rear Window</b:Title>
    <b:City>Cambridge</b:City>
    <b:Publisher>Cambridge UP</b:Publisher>
    <b:Year>2000</b:Year>
    <b:RefOrder>1</b:RefOrder>
  </b:Source>
  <b:Source>
    <b:Tag>Tan88</b:Tag>
    <b:SourceType>BookSection</b:SourceType>
    <b:Guid>{EF32B786-3D45-AC40-8204-C68E043731A0}</b:Guid>
    <b:Title>The Master's Dollhouse: Rear Window</b:Title>
    <b:City>New York</b:City>
    <b:Publisher>Methuen</b:Publisher>
    <b:Year>1988</b:Year>
    <b:Author>
      <b:Author>
        <b:NameList>
          <b:Person>
            <b:Last>Modleski</b:Last>
            <b:First>Tania</b:First>
          </b:Person>
        </b:NameList>
      </b:Author>
    </b:Author>
    <b:BookTitle>The Women Who Knew Too Much: Hitchcock and Feminist Theory</b:BookTitle>
    <b:RefOrder>2</b:RefOrder>
  </b:Source>
</b:Sources>
</file>

<file path=customXml/itemProps1.xml><?xml version="1.0" encoding="utf-8"?>
<ds:datastoreItem xmlns:ds="http://schemas.openxmlformats.org/officeDocument/2006/customXml" ds:itemID="{403AB9AE-B36B-F742-A86F-996D0C32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448</Words>
  <Characters>2559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30</cp:revision>
  <dcterms:created xsi:type="dcterms:W3CDTF">2014-08-11T17:10:00Z</dcterms:created>
  <dcterms:modified xsi:type="dcterms:W3CDTF">2014-10-12T18:10:00Z</dcterms:modified>
</cp:coreProperties>
</file>