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3BD12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5E291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0A678D17B84004398AA077199F1CFB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5A7D5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7D99B85786C4648B54BC0917E0A7D34"/>
            </w:placeholder>
            <w:text/>
          </w:sdtPr>
          <w:sdtEndPr/>
          <w:sdtContent>
            <w:tc>
              <w:tcPr>
                <w:tcW w:w="2073" w:type="dxa"/>
              </w:tcPr>
              <w:p w14:paraId="3888534B" w14:textId="77777777" w:rsidR="00B574C9" w:rsidRDefault="00880E4C" w:rsidP="00880E4C">
                <w:r>
                  <w:t>Eric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990BCA7CBA16A42BF4E96858CE4524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0F03D6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4CB7AC274AFFB478C64D87B3FE96097"/>
            </w:placeholder>
            <w:text/>
          </w:sdtPr>
          <w:sdtEndPr/>
          <w:sdtContent>
            <w:tc>
              <w:tcPr>
                <w:tcW w:w="2642" w:type="dxa"/>
              </w:tcPr>
              <w:p w14:paraId="7B70C4D3" w14:textId="77777777" w:rsidR="00B574C9" w:rsidRDefault="00880E4C" w:rsidP="00880E4C">
                <w:r>
                  <w:t>Nay</w:t>
                </w:r>
              </w:p>
            </w:tc>
          </w:sdtContent>
        </w:sdt>
      </w:tr>
      <w:tr w:rsidR="00B574C9" w14:paraId="46B93D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D2D0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14101AAA92404A8809B1DC4866CE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8A465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5748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6E4E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F2499A9FC67549B669F203C59DB21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B3733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85B3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122F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3FC9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0998F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20236C488D94B4195BB75EE57B5027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A2F7CF" w14:textId="77777777" w:rsidR="003F0D73" w:rsidRPr="00FB589A" w:rsidRDefault="00880E4C" w:rsidP="00880E4C">
                <w:pPr>
                  <w:rPr>
                    <w:b/>
                  </w:rPr>
                </w:pPr>
                <w:r>
                  <w:rPr>
                    <w:b/>
                  </w:rPr>
                  <w:t xml:space="preserve">The Group of Seven </w:t>
                </w:r>
              </w:p>
            </w:tc>
          </w:sdtContent>
        </w:sdt>
      </w:tr>
      <w:tr w:rsidR="00464699" w14:paraId="4FB41641" w14:textId="77777777" w:rsidTr="007821B0">
        <w:sdt>
          <w:sdtPr>
            <w:alias w:val="Variant headwords"/>
            <w:tag w:val="variantHeadwords"/>
            <w:id w:val="173464402"/>
            <w:placeholder>
              <w:docPart w:val="50E00A7D96F0AA4FB362E46A84D469B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3F05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2994FB2" w14:textId="77777777" w:rsidTr="003F0D73">
        <w:sdt>
          <w:sdtPr>
            <w:alias w:val="Abstract"/>
            <w:tag w:val="abstract"/>
            <w:id w:val="-635871867"/>
            <w:placeholder>
              <w:docPart w:val="1A7EC783C7FDBF449186A51A88B71E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C6AAF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9727D3E" w14:textId="77777777" w:rsidTr="003F0D73">
        <w:sdt>
          <w:sdtPr>
            <w:alias w:val="Article text"/>
            <w:tag w:val="articleText"/>
            <w:id w:val="634067588"/>
            <w:placeholder>
              <w:docPart w:val="81DBBBAFA519AA41AEE9B0A71D58D0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933F93" w14:textId="4D2F807C" w:rsidR="00880E4C" w:rsidRPr="00B614CE" w:rsidRDefault="00880E4C" w:rsidP="00880E4C">
                <w:pPr>
                  <w:pStyle w:val="NormalWeb"/>
                  <w:spacing w:before="0" w:beforeAutospacing="0" w:after="0" w:afterAutospacing="0"/>
                  <w:jc w:val="both"/>
                  <w:rPr>
                    <w:rFonts w:ascii="Palatino" w:hAnsi="Palatino"/>
                    <w:sz w:val="24"/>
                    <w:szCs w:val="24"/>
                  </w:rPr>
                </w:pPr>
                <w:r w:rsidRPr="00B614CE">
                  <w:rPr>
                    <w:rFonts w:ascii="Palatino" w:hAnsi="Palatino"/>
                    <w:sz w:val="24"/>
                    <w:szCs w:val="24"/>
                  </w:rPr>
                  <w:t>The Group of Seven was a group of Canadian landscape painters working in the early 1900s who developed a distinct style of painting that was tied to the evolution of Canada’s national identity. The group’s work focused on capturing the natural beauty of Canada’s vast wilderness through a self-proclaimed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 w:rsidR="0031000F">
                  <w:rPr>
                    <w:rFonts w:ascii="Palatino" w:hAnsi="Palatino"/>
                    <w:sz w:val="24"/>
                    <w:szCs w:val="24"/>
                  </w:rPr>
                  <w:t>‘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Canadian</w:t>
                </w:r>
                <w:r w:rsidR="0031000F">
                  <w:rPr>
                    <w:rFonts w:ascii="Palatino" w:hAnsi="Palatino"/>
                    <w:sz w:val="24"/>
                    <w:szCs w:val="24"/>
                  </w:rPr>
                  <w:t>’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style that evolved </w:t>
                </w:r>
                <w:r>
                  <w:rPr>
                    <w:rFonts w:ascii="Palatino" w:hAnsi="Palatino"/>
                    <w:sz w:val="24"/>
                    <w:szCs w:val="24"/>
                  </w:rPr>
                  <w:t>following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group expeditions in</w:t>
                </w:r>
                <w:r>
                  <w:rPr>
                    <w:rFonts w:ascii="Palatino" w:hAnsi="Palatino"/>
                    <w:sz w:val="24"/>
                    <w:szCs w:val="24"/>
                  </w:rPr>
                  <w:t>to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the Canadian </w:t>
                </w:r>
                <w:r>
                  <w:rPr>
                    <w:rFonts w:ascii="Palatino" w:hAnsi="Palatino"/>
                    <w:sz w:val="24"/>
                    <w:szCs w:val="24"/>
                  </w:rPr>
                  <w:t>landscape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. </w:t>
                </w:r>
                <w:r>
                  <w:rPr>
                    <w:rFonts w:ascii="Palatino" w:hAnsi="Palatino"/>
                    <w:sz w:val="24"/>
                    <w:szCs w:val="24"/>
                  </w:rPr>
                  <w:t>The original members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>of the group were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Franklin Carmichael (1890–1945), Lawren Harris (1885–1970), A. Y. Jackson (1882–1972), Frank Johnston (1888–1949), Arthur Lismer (1885–1969), J. E. H. MacDonald (1873–1932), and Frederick Varley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(1881–1969). The group’s members were </w:t>
                </w:r>
                <w:r>
                  <w:rPr>
                    <w:rFonts w:ascii="Palatino" w:hAnsi="Palatino"/>
                    <w:sz w:val="24"/>
                    <w:szCs w:val="24"/>
                  </w:rPr>
                  <w:t>based in Toronto, Ontario,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and included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fine artists,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commercial ar</w:t>
                </w:r>
                <w:r>
                  <w:rPr>
                    <w:rFonts w:ascii="Palatino" w:hAnsi="Palatino"/>
                    <w:sz w:val="24"/>
                    <w:szCs w:val="24"/>
                  </w:rPr>
                  <w:t>tists and graphic designers who would meet at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the Toronto Arts and Letters Club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.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Tom Thomson (1877-1917)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was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the group’s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spiritual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founder,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even though he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died three years prior to </w:t>
                </w:r>
                <w:r>
                  <w:rPr>
                    <w:rFonts w:ascii="Palatino" w:hAnsi="Palatino"/>
                    <w:sz w:val="24"/>
                    <w:szCs w:val="24"/>
                  </w:rPr>
                  <w:t>its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official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formation</w:t>
                </w:r>
                <w:r>
                  <w:rPr>
                    <w:rFonts w:ascii="Palatino" w:hAnsi="Palatino"/>
                    <w:sz w:val="24"/>
                    <w:szCs w:val="24"/>
                  </w:rPr>
                  <w:t>. Membership would expand in later years to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include A. J. Casson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(1898–1992),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Edwin Holgate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(1892–1977)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and LeMoine Fitzgerald (1890–1956)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.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Emily Carr (1871-1945) is also associated with the Group of Seven, but was never a member. The </w:t>
                </w:r>
                <w:r>
                  <w:rPr>
                    <w:rFonts w:ascii="Palatino" w:hAnsi="Palatino"/>
                    <w:sz w:val="24"/>
                    <w:szCs w:val="24"/>
                  </w:rPr>
                  <w:t>G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roup </w:t>
                </w:r>
                <w:r>
                  <w:rPr>
                    <w:rFonts w:ascii="Palatino" w:hAnsi="Palatino"/>
                    <w:sz w:val="24"/>
                    <w:szCs w:val="24"/>
                  </w:rPr>
                  <w:t>of Seven disban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d</w:t>
                </w:r>
                <w:r>
                  <w:rPr>
                    <w:rFonts w:ascii="Palatino" w:hAnsi="Palatino"/>
                    <w:sz w:val="24"/>
                    <w:szCs w:val="24"/>
                  </w:rPr>
                  <w:t>ed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in the 1930s. </w:t>
                </w:r>
              </w:p>
              <w:p w14:paraId="41FAB10F" w14:textId="77777777" w:rsidR="00880E4C" w:rsidRDefault="00880E4C" w:rsidP="00880E4C">
                <w:pPr>
                  <w:pStyle w:val="NormalWeb"/>
                  <w:spacing w:before="0" w:beforeAutospacing="0" w:after="0" w:afterAutospacing="0"/>
                  <w:jc w:val="both"/>
                  <w:rPr>
                    <w:rFonts w:ascii="Palatino" w:hAnsi="Palatino"/>
                    <w:sz w:val="24"/>
                    <w:szCs w:val="24"/>
                  </w:rPr>
                </w:pPr>
              </w:p>
              <w:p w14:paraId="4967714D" w14:textId="2FEA50DD" w:rsidR="00880E4C" w:rsidRDefault="00880E4C" w:rsidP="00880E4C">
                <w:pPr>
                  <w:pStyle w:val="NormalWeb"/>
                  <w:spacing w:before="0" w:beforeAutospacing="0" w:after="0" w:afterAutospacing="0"/>
                  <w:rPr>
                    <w:rFonts w:ascii="Palatino" w:hAnsi="Palatino"/>
                    <w:sz w:val="24"/>
                    <w:szCs w:val="24"/>
                  </w:rPr>
                </w:pP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The individual </w:t>
                </w:r>
                <w:r>
                  <w:rPr>
                    <w:rFonts w:ascii="Palatino" w:hAnsi="Palatino"/>
                    <w:sz w:val="24"/>
                    <w:szCs w:val="24"/>
                  </w:rPr>
                  <w:t>works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of the members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of the Group of Seven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varied, but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each one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shared similar techniques and stylistic approaches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with the common goal of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representing </w:t>
                </w:r>
                <w:r w:rsidR="00445B72">
                  <w:rPr>
                    <w:rFonts w:ascii="Palatino" w:hAnsi="Palatino"/>
                    <w:sz w:val="24"/>
                    <w:szCs w:val="24"/>
                  </w:rPr>
                  <w:t>the ‘untouched’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Canadian landscape </w:t>
                </w:r>
                <w:r>
                  <w:rPr>
                    <w:rFonts w:ascii="Palatino" w:hAnsi="Palatino"/>
                    <w:sz w:val="24"/>
                    <w:szCs w:val="24"/>
                  </w:rPr>
                  <w:t>through a uniquely Canadian style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. The group </w:t>
                </w:r>
                <w:r>
                  <w:rPr>
                    <w:rFonts w:ascii="Palatino" w:hAnsi="Palatino"/>
                    <w:sz w:val="24"/>
                    <w:szCs w:val="24"/>
                  </w:rPr>
                  <w:t>claimed to distance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itself from European styles, but references to </w:t>
                </w:r>
                <w:r>
                  <w:rPr>
                    <w:rFonts w:ascii="Palatino" w:hAnsi="Palatino"/>
                    <w:sz w:val="24"/>
                    <w:szCs w:val="24"/>
                  </w:rPr>
                  <w:t>I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mpressionism, </w:t>
                </w:r>
                <w:r>
                  <w:rPr>
                    <w:rFonts w:ascii="Palatino" w:hAnsi="Palatino"/>
                    <w:sz w:val="24"/>
                    <w:szCs w:val="24"/>
                  </w:rPr>
                  <w:t>P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ost-</w:t>
                </w:r>
                <w:r>
                  <w:rPr>
                    <w:rFonts w:ascii="Palatino" w:hAnsi="Palatino"/>
                    <w:sz w:val="24"/>
                    <w:szCs w:val="24"/>
                  </w:rPr>
                  <w:t>I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mpressionism and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Art Nouveau are clearly evident in its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work. The Group </w:t>
                </w:r>
                <w:r>
                  <w:rPr>
                    <w:rFonts w:ascii="Palatino" w:hAnsi="Palatino"/>
                    <w:sz w:val="24"/>
                    <w:szCs w:val="24"/>
                  </w:rPr>
                  <w:t>developed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>a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unique, rugged </w:t>
                </w:r>
                <w:r>
                  <w:rPr>
                    <w:rFonts w:ascii="Palatino" w:hAnsi="Palatino"/>
                    <w:sz w:val="24"/>
                    <w:szCs w:val="24"/>
                  </w:rPr>
                  <w:t>approach to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painting that </w:t>
                </w:r>
                <w:r>
                  <w:rPr>
                    <w:rFonts w:ascii="Palatino" w:hAnsi="Palatino"/>
                    <w:sz w:val="24"/>
                    <w:szCs w:val="24"/>
                  </w:rPr>
                  <w:t>reflected its desires to develop a distinctly Canadian style.  The Group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work</w:t>
                </w:r>
                <w:r>
                  <w:rPr>
                    <w:rFonts w:ascii="Palatino" w:hAnsi="Palatino"/>
                    <w:sz w:val="24"/>
                    <w:szCs w:val="24"/>
                  </w:rPr>
                  <w:t>ed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directly from nature in </w:t>
                </w:r>
                <w:r>
                  <w:rPr>
                    <w:rFonts w:ascii="Palatino" w:hAnsi="Palatino"/>
                    <w:sz w:val="24"/>
                    <w:szCs w:val="24"/>
                  </w:rPr>
                  <w:t>frequently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very challenging physical environments</w:t>
                </w:r>
                <w:r>
                  <w:rPr>
                    <w:rFonts w:ascii="Palatino" w:hAnsi="Palatino"/>
                    <w:sz w:val="24"/>
                    <w:szCs w:val="24"/>
                  </w:rPr>
                  <w:t>, which forced them to adapt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to painting in the frigid cold </w:t>
                </w:r>
                <w:r>
                  <w:rPr>
                    <w:rFonts w:ascii="Palatino" w:hAnsi="Palatino"/>
                    <w:sz w:val="24"/>
                    <w:szCs w:val="24"/>
                  </w:rPr>
                  <w:t>and to whatever transport that could accommodate their travel, such as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from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within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the bowels of a canoe. The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resulting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need for both speed and agility </w:t>
                </w:r>
                <w:r>
                  <w:rPr>
                    <w:rFonts w:ascii="Palatino" w:hAnsi="Palatino"/>
                    <w:sz w:val="24"/>
                    <w:szCs w:val="24"/>
                  </w:rPr>
                  <w:t>in technique provoked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a spontaneous </w:t>
                </w:r>
                <w:r>
                  <w:rPr>
                    <w:rFonts w:ascii="Palatino" w:hAnsi="Palatino"/>
                    <w:sz w:val="24"/>
                    <w:szCs w:val="24"/>
                  </w:rPr>
                  <w:t>form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of painting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.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Vast vistas framed by pine boughs were </w:t>
                </w:r>
                <w:r>
                  <w:rPr>
                    <w:rFonts w:ascii="Palatino" w:hAnsi="Palatino"/>
                    <w:sz w:val="24"/>
                    <w:szCs w:val="24"/>
                  </w:rPr>
                  <w:t>captured on canvases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using broad, fast brush strokes </w:t>
                </w:r>
                <w:r>
                  <w:rPr>
                    <w:rFonts w:ascii="Palatino" w:hAnsi="Palatino"/>
                    <w:sz w:val="24"/>
                    <w:szCs w:val="24"/>
                  </w:rPr>
                  <w:t>followed with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thick,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bold splashes of colour applied in </w:t>
                </w:r>
                <w:r>
                  <w:rPr>
                    <w:rFonts w:ascii="Palatino" w:hAnsi="Palatino"/>
                    <w:sz w:val="24"/>
                    <w:szCs w:val="24"/>
                  </w:rPr>
                  <w:t>thick layers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without the benefit of preliminary sketches or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careful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premeditation</w:t>
                </w:r>
                <w:r w:rsidRPr="00B614CE">
                  <w:rPr>
                    <w:rFonts w:ascii="Palatino" w:hAnsi="Palatino"/>
                    <w:i/>
                    <w:sz w:val="24"/>
                    <w:szCs w:val="24"/>
                  </w:rPr>
                  <w:t>.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>The Group of Seven’s work ultimately gain</w:t>
                </w:r>
                <w:r>
                  <w:rPr>
                    <w:rFonts w:ascii="Palatino" w:hAnsi="Palatino"/>
                    <w:sz w:val="24"/>
                    <w:szCs w:val="24"/>
                  </w:rPr>
                  <w:t>ed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widespread popular </w:t>
                </w:r>
                <w:r>
                  <w:rPr>
                    <w:rFonts w:ascii="Palatino" w:hAnsi="Palatino"/>
                    <w:sz w:val="24"/>
                    <w:szCs w:val="24"/>
                  </w:rPr>
                  <w:t>support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within the art community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and Canadian popular culture. Its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collective body of work now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lastRenderedPageBreak/>
                  <w:t xml:space="preserve">forms the core of permanent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art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collections at institutions across the country </w:t>
                </w:r>
                <w:r>
                  <w:rPr>
                    <w:rFonts w:ascii="Palatino" w:hAnsi="Palatino"/>
                    <w:sz w:val="24"/>
                    <w:szCs w:val="24"/>
                  </w:rPr>
                  <w:t>including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the National Gallery of Canada, the Art Gallery of Ontario and the McMichael Canadian Art Collection. Contemporary critics have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since raised numerous issues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>about the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intentions</w:t>
                </w:r>
                <w:r>
                  <w:rPr>
                    <w:rFonts w:ascii="Palatino" w:hAnsi="Palatino"/>
                    <w:sz w:val="24"/>
                    <w:szCs w:val="24"/>
                  </w:rPr>
                  <w:t>, methods and rhetoric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>of the group, specifically criticizing the group’s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complete dismissal of Canada’s indigenous population with its 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rich artistic and cultural </w:t>
                </w:r>
                <w:r>
                  <w:rPr>
                    <w:rFonts w:ascii="Palatino" w:hAnsi="Palatino"/>
                    <w:sz w:val="24"/>
                    <w:szCs w:val="24"/>
                  </w:rPr>
                  <w:t>traditions</w:t>
                </w:r>
                <w:r w:rsidRPr="00B614CE">
                  <w:rPr>
                    <w:rFonts w:ascii="Palatino" w:hAnsi="Palatino"/>
                    <w:sz w:val="24"/>
                    <w:szCs w:val="24"/>
                  </w:rPr>
                  <w:t xml:space="preserve"> 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in areas that the Group of </w:t>
                </w:r>
                <w:r w:rsidR="00AC2625">
                  <w:rPr>
                    <w:rFonts w:ascii="Palatino" w:hAnsi="Palatino"/>
                    <w:sz w:val="24"/>
                    <w:szCs w:val="24"/>
                  </w:rPr>
                  <w:t>Seven had labeled as ‘</w:t>
                </w:r>
                <w:bookmarkStart w:id="0" w:name="_GoBack"/>
                <w:bookmarkEnd w:id="0"/>
                <w:r w:rsidR="00AC2625">
                  <w:rPr>
                    <w:rFonts w:ascii="Palatino" w:hAnsi="Palatino"/>
                    <w:sz w:val="24"/>
                    <w:szCs w:val="24"/>
                  </w:rPr>
                  <w:t>untouched’</w:t>
                </w:r>
                <w:r>
                  <w:rPr>
                    <w:rFonts w:ascii="Palatino" w:hAnsi="Palatino"/>
                    <w:sz w:val="24"/>
                    <w:szCs w:val="24"/>
                  </w:rPr>
                  <w:t xml:space="preserve"> on their expeditions.</w:t>
                </w:r>
              </w:p>
              <w:p w14:paraId="2072838C" w14:textId="77777777" w:rsidR="00880E4C" w:rsidRDefault="00880E4C" w:rsidP="00880E4C">
                <w:pPr>
                  <w:pStyle w:val="NormalWeb"/>
                  <w:spacing w:before="0" w:beforeAutospacing="0" w:after="0" w:afterAutospacing="0"/>
                  <w:rPr>
                    <w:rFonts w:ascii="Palatino" w:hAnsi="Palatino"/>
                    <w:sz w:val="24"/>
                    <w:szCs w:val="24"/>
                  </w:rPr>
                </w:pPr>
              </w:p>
              <w:p w14:paraId="642D4CE7" w14:textId="77777777" w:rsidR="00880E4C" w:rsidRDefault="00880E4C" w:rsidP="00880E4C">
                <w:pPr>
                  <w:pStyle w:val="NormalWeb"/>
                  <w:spacing w:before="0" w:beforeAutospacing="0" w:after="0" w:afterAutospacing="0"/>
                  <w:rPr>
                    <w:rFonts w:ascii="Palatino" w:hAnsi="Palatino"/>
                    <w:sz w:val="24"/>
                    <w:szCs w:val="24"/>
                  </w:rPr>
                </w:pPr>
              </w:p>
              <w:p w14:paraId="38EC18DA" w14:textId="77777777" w:rsidR="00880E4C" w:rsidRDefault="00880E4C" w:rsidP="00880E4C">
                <w:pPr>
                  <w:pStyle w:val="NormalWeb"/>
                  <w:spacing w:before="0" w:beforeAutospacing="0" w:after="0" w:afterAutospacing="0"/>
                  <w:rPr>
                    <w:rFonts w:ascii="Palatino" w:hAnsi="Palatino"/>
                    <w:sz w:val="24"/>
                    <w:szCs w:val="24"/>
                  </w:rPr>
                </w:pPr>
                <w:r>
                  <w:rPr>
                    <w:rFonts w:ascii="Palatino" w:hAnsi="Palatino"/>
                    <w:sz w:val="24"/>
                    <w:szCs w:val="24"/>
                  </w:rPr>
                  <w:t>[Image: The JackPine.jpg]</w:t>
                </w:r>
              </w:p>
              <w:p w14:paraId="5482425A" w14:textId="77777777" w:rsidR="00880E4C" w:rsidRDefault="00880E4C" w:rsidP="00880E4C">
                <w:pPr>
                  <w:pStyle w:val="NormalWeb"/>
                  <w:spacing w:before="0" w:beforeAutospacing="0" w:after="0" w:afterAutospacing="0"/>
                  <w:rPr>
                    <w:rFonts w:ascii="Palatino" w:hAnsi="Palatino"/>
                    <w:sz w:val="24"/>
                    <w:szCs w:val="24"/>
                  </w:rPr>
                </w:pPr>
                <w:r>
                  <w:rPr>
                    <w:rFonts w:ascii="Palatino" w:hAnsi="Palatino"/>
                    <w:sz w:val="24"/>
                    <w:szCs w:val="24"/>
                  </w:rPr>
                  <w:t xml:space="preserve">Caption: </w:t>
                </w:r>
              </w:p>
              <w:p w14:paraId="24386AC3" w14:textId="77777777" w:rsidR="00880E4C" w:rsidRPr="00B614CE" w:rsidRDefault="00880E4C" w:rsidP="00880E4C">
                <w:pPr>
                  <w:rPr>
                    <w:rFonts w:ascii="Palatino" w:eastAsia="Times New Roman" w:hAnsi="Palatino" w:cs="Times New Roman"/>
                  </w:rPr>
                </w:pPr>
                <w:r w:rsidRPr="00B614CE">
                  <w:rPr>
                    <w:rFonts w:ascii="Palatino" w:eastAsia="Times New Roman" w:hAnsi="Palatino" w:cs="Times New Roman"/>
                  </w:rPr>
                  <w:t xml:space="preserve">Tom Thomson, </w:t>
                </w:r>
                <w:r w:rsidRPr="00886495">
                  <w:rPr>
                    <w:rFonts w:ascii="Palatino" w:eastAsia="Times New Roman" w:hAnsi="Palatino" w:cs="Times New Roman"/>
                    <w:i/>
                  </w:rPr>
                  <w:t>The Jack Pine</w:t>
                </w:r>
                <w:r w:rsidRPr="00B614CE">
                  <w:rPr>
                    <w:rFonts w:ascii="Palatino" w:eastAsia="Times New Roman" w:hAnsi="Palatino" w:cs="Times New Roman"/>
                  </w:rPr>
                  <w:t>, 1916-1917</w:t>
                </w:r>
              </w:p>
              <w:p w14:paraId="23647C2E" w14:textId="77777777" w:rsidR="00880E4C" w:rsidRPr="00B614CE" w:rsidRDefault="00880E4C" w:rsidP="00880E4C">
                <w:pPr>
                  <w:rPr>
                    <w:rFonts w:ascii="Palatino" w:eastAsia="Times New Roman" w:hAnsi="Palatino" w:cs="Times New Roman"/>
                  </w:rPr>
                </w:pPr>
                <w:r w:rsidRPr="00B614CE">
                  <w:rPr>
                    <w:rFonts w:ascii="Palatino" w:eastAsia="Times New Roman" w:hAnsi="Palatino" w:cs="Times New Roman"/>
                  </w:rPr>
                  <w:t xml:space="preserve">Canadian, 1877 - 1917 </w:t>
                </w:r>
                <w:r w:rsidRPr="00B614CE">
                  <w:rPr>
                    <w:rFonts w:ascii="Palatino" w:eastAsia="Times New Roman" w:hAnsi="Palatino" w:cs="Times New Roman"/>
                  </w:rPr>
                  <w:br/>
                  <w:t>oil on canvas</w:t>
                </w:r>
                <w:r w:rsidRPr="00B614CE">
                  <w:rPr>
                    <w:rFonts w:ascii="Palatino" w:eastAsia="Times New Roman" w:hAnsi="Palatino" w:cs="Times New Roman"/>
                  </w:rPr>
                  <w:br/>
                  <w:t>127.9 x 139.8 cm</w:t>
                </w:r>
                <w:r w:rsidRPr="00B614CE">
                  <w:rPr>
                    <w:rFonts w:ascii="Palatino" w:eastAsia="Times New Roman" w:hAnsi="Palatino" w:cs="Times New Roman"/>
                  </w:rPr>
                  <w:br/>
                  <w:t>Purchased 1918</w:t>
                </w:r>
                <w:r w:rsidRPr="00B614CE">
                  <w:rPr>
                    <w:rFonts w:ascii="Palatino" w:eastAsia="Times New Roman" w:hAnsi="Palatino" w:cs="Times New Roman"/>
                  </w:rPr>
                  <w:br/>
                  <w:t>National Gallery of Canada (no. 1519)</w:t>
                </w:r>
              </w:p>
              <w:p w14:paraId="60FCB32C" w14:textId="77777777" w:rsidR="003F0D73" w:rsidRDefault="003F0D73" w:rsidP="00880E4C">
                <w:pPr>
                  <w:pStyle w:val="NormalWeb"/>
                  <w:spacing w:before="0" w:beforeAutospacing="0" w:after="0" w:afterAutospacing="0"/>
                </w:pPr>
              </w:p>
            </w:tc>
          </w:sdtContent>
        </w:sdt>
      </w:tr>
      <w:tr w:rsidR="003235A7" w14:paraId="1F0C2FD4" w14:textId="77777777" w:rsidTr="003235A7">
        <w:tc>
          <w:tcPr>
            <w:tcW w:w="9016" w:type="dxa"/>
          </w:tcPr>
          <w:p w14:paraId="183BA0B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b w:val="0"/>
                <w:color w:val="auto"/>
                <w:szCs w:val="22"/>
              </w:rPr>
              <w:alias w:val="Further reading"/>
              <w:tag w:val="furtherReading"/>
              <w:id w:val="-1516217107"/>
              <w:placeholder>
                <w:docPart w:val="048DC1031781AF44A6668428EF001B54"/>
              </w:placeholder>
            </w:sdtPr>
            <w:sdtEndPr/>
            <w:sdtContent>
              <w:p w14:paraId="42909917" w14:textId="62B147D7" w:rsidR="00880E4C" w:rsidRPr="00B614CE" w:rsidRDefault="00AC6E6D" w:rsidP="00880E4C">
                <w:pPr>
                  <w:pStyle w:val="Heading1"/>
                  <w:outlineLvl w:val="0"/>
                  <w:rPr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</w:pPr>
                <w:r>
                  <w:rPr>
                    <w:rStyle w:val="notranslate"/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  <w:t xml:space="preserve">Silcox, D. </w:t>
                </w:r>
                <w:r w:rsidR="00880E4C" w:rsidRPr="00B614CE">
                  <w:rPr>
                    <w:rStyle w:val="notranslate"/>
                    <w:rFonts w:ascii="Palatino" w:eastAsia="Times New Roman" w:hAnsi="Palatino" w:cs="Times New Roman"/>
                    <w:b w:val="0"/>
                    <w:i/>
                    <w:sz w:val="24"/>
                    <w:szCs w:val="24"/>
                  </w:rPr>
                  <w:t>The Group of Seven and Tom Thomson</w:t>
                </w:r>
                <w:r w:rsidR="00880E4C" w:rsidRPr="00B614CE">
                  <w:rPr>
                    <w:rStyle w:val="notranslate"/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  <w:t>, Richmond Hi</w:t>
                </w:r>
                <w:r>
                  <w:rPr>
                    <w:rStyle w:val="notranslate"/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  <w:t xml:space="preserve">ll, Ontario: Firefly Books, 2006. </w:t>
                </w:r>
              </w:p>
              <w:p w14:paraId="404DEBAF" w14:textId="0AB816B9" w:rsidR="00880E4C" w:rsidRPr="00B614CE" w:rsidRDefault="00AC6E6D" w:rsidP="00880E4C">
                <w:pPr>
                  <w:pStyle w:val="Heading1"/>
                  <w:spacing w:after="0"/>
                  <w:outlineLvl w:val="0"/>
                  <w:rPr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Palatino" w:hAnsi="Palatino"/>
                    <w:b w:val="0"/>
                    <w:sz w:val="24"/>
                    <w:szCs w:val="24"/>
                  </w:rPr>
                  <w:t xml:space="preserve">Tooby, Michael. </w:t>
                </w:r>
                <w:r w:rsidR="00880E4C" w:rsidRPr="00B614CE">
                  <w:rPr>
                    <w:rStyle w:val="notranslate"/>
                    <w:rFonts w:ascii="Palatino" w:eastAsia="Times New Roman" w:hAnsi="Palatino" w:cs="Times New Roman"/>
                    <w:b w:val="0"/>
                    <w:i/>
                    <w:sz w:val="24"/>
                    <w:szCs w:val="24"/>
                  </w:rPr>
                  <w:t>The True North: Canadian Landscape Painting 1896-1939</w:t>
                </w:r>
                <w:r w:rsidR="00880E4C" w:rsidRPr="00B614CE">
                  <w:rPr>
                    <w:rStyle w:val="notranslate"/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  <w:t xml:space="preserve">, </w:t>
                </w:r>
                <w:r w:rsidR="00880E4C" w:rsidRPr="00B614CE">
                  <w:rPr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  <w:t>London : Lund Humphries in associ</w:t>
                </w:r>
                <w:r>
                  <w:rPr>
                    <w:rFonts w:ascii="Palatino" w:eastAsia="Times New Roman" w:hAnsi="Palatino" w:cs="Times New Roman"/>
                    <w:b w:val="0"/>
                    <w:sz w:val="24"/>
                    <w:szCs w:val="24"/>
                  </w:rPr>
                  <w:t xml:space="preserve">ation with Barbican Art Gallery, 1991. </w:t>
                </w:r>
              </w:p>
              <w:p w14:paraId="08577ABC" w14:textId="77777777" w:rsidR="003235A7" w:rsidRDefault="00AC2625" w:rsidP="00FB11DE"/>
            </w:sdtContent>
          </w:sdt>
        </w:tc>
      </w:tr>
    </w:tbl>
    <w:p w14:paraId="31938DF7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A2070" w14:textId="77777777" w:rsidR="00880E4C" w:rsidRDefault="00880E4C" w:rsidP="007A0D55">
      <w:pPr>
        <w:spacing w:after="0" w:line="240" w:lineRule="auto"/>
      </w:pPr>
      <w:r>
        <w:separator/>
      </w:r>
    </w:p>
  </w:endnote>
  <w:endnote w:type="continuationSeparator" w:id="0">
    <w:p w14:paraId="10681B69" w14:textId="77777777" w:rsidR="00880E4C" w:rsidRDefault="00880E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A0E2E" w14:textId="77777777" w:rsidR="00880E4C" w:rsidRDefault="00880E4C" w:rsidP="007A0D55">
      <w:pPr>
        <w:spacing w:after="0" w:line="240" w:lineRule="auto"/>
      </w:pPr>
      <w:r>
        <w:separator/>
      </w:r>
    </w:p>
  </w:footnote>
  <w:footnote w:type="continuationSeparator" w:id="0">
    <w:p w14:paraId="60B9BBC0" w14:textId="77777777" w:rsidR="00880E4C" w:rsidRDefault="00880E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1DFC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D1354E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4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000F"/>
    <w:rsid w:val="003235A7"/>
    <w:rsid w:val="003677B6"/>
    <w:rsid w:val="003D3579"/>
    <w:rsid w:val="003E2795"/>
    <w:rsid w:val="003F0D73"/>
    <w:rsid w:val="00445B7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176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0E4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2625"/>
    <w:rsid w:val="00AC6E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0E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0E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4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80E4C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customStyle="1" w:styleId="notranslate">
    <w:name w:val="notranslate"/>
    <w:basedOn w:val="DefaultParagraphFont"/>
    <w:rsid w:val="00880E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0E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4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80E4C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customStyle="1" w:styleId="notranslate">
    <w:name w:val="notranslate"/>
    <w:basedOn w:val="DefaultParagraphFont"/>
    <w:rsid w:val="0088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A678D17B84004398AA077199F1C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12BD1-3DAA-0B49-92AD-1D83BD2915DA}"/>
      </w:docPartPr>
      <w:docPartBody>
        <w:p w:rsidR="00D916D2" w:rsidRDefault="00D916D2">
          <w:pPr>
            <w:pStyle w:val="A0A678D17B84004398AA077199F1CFB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7D99B85786C4648B54BC0917E0A7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518F7-C921-204E-9342-31861A3CB5DB}"/>
      </w:docPartPr>
      <w:docPartBody>
        <w:p w:rsidR="00D916D2" w:rsidRDefault="00D916D2">
          <w:pPr>
            <w:pStyle w:val="67D99B85786C4648B54BC0917E0A7D3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990BCA7CBA16A42BF4E96858CE4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EABD-4F4D-0F44-873F-D8C2E5A889E5}"/>
      </w:docPartPr>
      <w:docPartBody>
        <w:p w:rsidR="00D916D2" w:rsidRDefault="00D916D2">
          <w:pPr>
            <w:pStyle w:val="F990BCA7CBA16A42BF4E96858CE4524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4CB7AC274AFFB478C64D87B3FE9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3A647-F3BF-EC4F-B5BA-D7E9D3AF8FDC}"/>
      </w:docPartPr>
      <w:docPartBody>
        <w:p w:rsidR="00D916D2" w:rsidRDefault="00D916D2">
          <w:pPr>
            <w:pStyle w:val="84CB7AC274AFFB478C64D87B3FE9609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14101AAA92404A8809B1DC4866C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00534-97E2-F545-88B6-FB3C728DCA02}"/>
      </w:docPartPr>
      <w:docPartBody>
        <w:p w:rsidR="00D916D2" w:rsidRDefault="00D916D2">
          <w:pPr>
            <w:pStyle w:val="AC14101AAA92404A8809B1DC4866CE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F2499A9FC67549B669F203C59DB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837B-81C1-C145-9C6A-88D4FE311D94}"/>
      </w:docPartPr>
      <w:docPartBody>
        <w:p w:rsidR="00D916D2" w:rsidRDefault="00D916D2">
          <w:pPr>
            <w:pStyle w:val="41F2499A9FC67549B669F203C59DB2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0236C488D94B4195BB75EE57B50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D828-9F6F-5947-9C3A-A3A9CD933B5A}"/>
      </w:docPartPr>
      <w:docPartBody>
        <w:p w:rsidR="00D916D2" w:rsidRDefault="00D916D2">
          <w:pPr>
            <w:pStyle w:val="420236C488D94B4195BB75EE57B502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0E00A7D96F0AA4FB362E46A84D46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4047-5C6F-F947-B7B4-73BE24522055}"/>
      </w:docPartPr>
      <w:docPartBody>
        <w:p w:rsidR="00D916D2" w:rsidRDefault="00D916D2">
          <w:pPr>
            <w:pStyle w:val="50E00A7D96F0AA4FB362E46A84D469B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A7EC783C7FDBF449186A51A88B7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E0A05-7D0C-2340-8588-93378C417F68}"/>
      </w:docPartPr>
      <w:docPartBody>
        <w:p w:rsidR="00D916D2" w:rsidRDefault="00D916D2">
          <w:pPr>
            <w:pStyle w:val="1A7EC783C7FDBF449186A51A88B71E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DBBBAFA519AA41AEE9B0A71D58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BC71A-3FBE-E347-8506-643CCE0CA755}"/>
      </w:docPartPr>
      <w:docPartBody>
        <w:p w:rsidR="00D916D2" w:rsidRDefault="00D916D2">
          <w:pPr>
            <w:pStyle w:val="81DBBBAFA519AA41AEE9B0A71D58D0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48DC1031781AF44A6668428EF001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25412-A29A-D349-8417-CCCC2050F378}"/>
      </w:docPartPr>
      <w:docPartBody>
        <w:p w:rsidR="00D916D2" w:rsidRDefault="00D916D2">
          <w:pPr>
            <w:pStyle w:val="048DC1031781AF44A6668428EF001B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D2"/>
    <w:rsid w:val="00D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A678D17B84004398AA077199F1CFB3">
    <w:name w:val="A0A678D17B84004398AA077199F1CFB3"/>
  </w:style>
  <w:style w:type="paragraph" w:customStyle="1" w:styleId="67D99B85786C4648B54BC0917E0A7D34">
    <w:name w:val="67D99B85786C4648B54BC0917E0A7D34"/>
  </w:style>
  <w:style w:type="paragraph" w:customStyle="1" w:styleId="F990BCA7CBA16A42BF4E96858CE45241">
    <w:name w:val="F990BCA7CBA16A42BF4E96858CE45241"/>
  </w:style>
  <w:style w:type="paragraph" w:customStyle="1" w:styleId="84CB7AC274AFFB478C64D87B3FE96097">
    <w:name w:val="84CB7AC274AFFB478C64D87B3FE96097"/>
  </w:style>
  <w:style w:type="paragraph" w:customStyle="1" w:styleId="AC14101AAA92404A8809B1DC4866CEE8">
    <w:name w:val="AC14101AAA92404A8809B1DC4866CEE8"/>
  </w:style>
  <w:style w:type="paragraph" w:customStyle="1" w:styleId="41F2499A9FC67549B669F203C59DB219">
    <w:name w:val="41F2499A9FC67549B669F203C59DB219"/>
  </w:style>
  <w:style w:type="paragraph" w:customStyle="1" w:styleId="420236C488D94B4195BB75EE57B50274">
    <w:name w:val="420236C488D94B4195BB75EE57B50274"/>
  </w:style>
  <w:style w:type="paragraph" w:customStyle="1" w:styleId="50E00A7D96F0AA4FB362E46A84D469BA">
    <w:name w:val="50E00A7D96F0AA4FB362E46A84D469BA"/>
  </w:style>
  <w:style w:type="paragraph" w:customStyle="1" w:styleId="1A7EC783C7FDBF449186A51A88B71E30">
    <w:name w:val="1A7EC783C7FDBF449186A51A88B71E30"/>
  </w:style>
  <w:style w:type="paragraph" w:customStyle="1" w:styleId="81DBBBAFA519AA41AEE9B0A71D58D0DE">
    <w:name w:val="81DBBBAFA519AA41AEE9B0A71D58D0DE"/>
  </w:style>
  <w:style w:type="paragraph" w:customStyle="1" w:styleId="048DC1031781AF44A6668428EF001B54">
    <w:name w:val="048DC1031781AF44A6668428EF001B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A678D17B84004398AA077199F1CFB3">
    <w:name w:val="A0A678D17B84004398AA077199F1CFB3"/>
  </w:style>
  <w:style w:type="paragraph" w:customStyle="1" w:styleId="67D99B85786C4648B54BC0917E0A7D34">
    <w:name w:val="67D99B85786C4648B54BC0917E0A7D34"/>
  </w:style>
  <w:style w:type="paragraph" w:customStyle="1" w:styleId="F990BCA7CBA16A42BF4E96858CE45241">
    <w:name w:val="F990BCA7CBA16A42BF4E96858CE45241"/>
  </w:style>
  <w:style w:type="paragraph" w:customStyle="1" w:styleId="84CB7AC274AFFB478C64D87B3FE96097">
    <w:name w:val="84CB7AC274AFFB478C64D87B3FE96097"/>
  </w:style>
  <w:style w:type="paragraph" w:customStyle="1" w:styleId="AC14101AAA92404A8809B1DC4866CEE8">
    <w:name w:val="AC14101AAA92404A8809B1DC4866CEE8"/>
  </w:style>
  <w:style w:type="paragraph" w:customStyle="1" w:styleId="41F2499A9FC67549B669F203C59DB219">
    <w:name w:val="41F2499A9FC67549B669F203C59DB219"/>
  </w:style>
  <w:style w:type="paragraph" w:customStyle="1" w:styleId="420236C488D94B4195BB75EE57B50274">
    <w:name w:val="420236C488D94B4195BB75EE57B50274"/>
  </w:style>
  <w:style w:type="paragraph" w:customStyle="1" w:styleId="50E00A7D96F0AA4FB362E46A84D469BA">
    <w:name w:val="50E00A7D96F0AA4FB362E46A84D469BA"/>
  </w:style>
  <w:style w:type="paragraph" w:customStyle="1" w:styleId="1A7EC783C7FDBF449186A51A88B71E30">
    <w:name w:val="1A7EC783C7FDBF449186A51A88B71E30"/>
  </w:style>
  <w:style w:type="paragraph" w:customStyle="1" w:styleId="81DBBBAFA519AA41AEE9B0A71D58D0DE">
    <w:name w:val="81DBBBAFA519AA41AEE9B0A71D58D0DE"/>
  </w:style>
  <w:style w:type="paragraph" w:customStyle="1" w:styleId="048DC1031781AF44A6668428EF001B54">
    <w:name w:val="048DC1031781AF44A6668428EF001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6</cp:revision>
  <dcterms:created xsi:type="dcterms:W3CDTF">2014-08-11T02:55:00Z</dcterms:created>
  <dcterms:modified xsi:type="dcterms:W3CDTF">2014-08-11T15:14:00Z</dcterms:modified>
</cp:coreProperties>
</file>