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0D63EC" w:rsidP="00CC58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408EEED5C9FBF4B92C497F022599D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B0F63153EB6C24CADD8EEB77135033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D63EC" w:rsidP="000D63EC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2B25F755B86046A2B5749BD69E44C4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0D63EC" w:rsidP="000D63EC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8DE1122CE49B458E6D17E944D7FD2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D63EC" w:rsidP="000D63EC">
                <w:r>
                  <w:t xml:space="preserve">Torres </w:t>
                </w:r>
                <w:proofErr w:type="spellStart"/>
                <w:r>
                  <w:t>Hortelano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D7C422DD4436647BBBF777E7BF9974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2483F8B4C941F4E931834B3BED6BF5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0D63EC" w:rsidP="000D63EC">
                <w:r>
                  <w:t>Universidad Rey Juan Carlos (Madrid, Spain)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6E4F234C8F1A14891173E905E2091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D63EC" w:rsidP="000D63EC">
                <w:pPr>
                  <w:rPr>
                    <w:b/>
                  </w:rPr>
                </w:pPr>
                <w:proofErr w:type="spellStart"/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Marcel (1888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-1979</w:t>
                </w:r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1909B92D2520743AACE9EC989C2ADE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D219A4A9453B24E826B4CD327AE68F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717A9C6D066FF499F5CB5FD816B62C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D63EC" w:rsidRPr="00E041A2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406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Marcel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L’Herbier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a French pioneer avant-garde (impressionist) filmmaker and theorist who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made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more than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forty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films from the 1920s to 1950s. In World War I, he learned the basics of filmmaking</w:t>
                </w:r>
                <w:r w:rsidRPr="00E041A2" w:rsidDel="0071347B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in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the Army Cinematographic Service.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 wrote a seminal text,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Hermès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et le silence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(1918), where he stated that cinema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is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not an art but a new language which calls into question the traditional notion of art. One of his best attempts to put into practice his theories was the poetic 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Rose-France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(1919). In 1921 he filmed one of his masterworks, 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El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Dorado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, mainly in Granada (Andalusia, Spain)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which anticipated the German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kammerspiel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He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used a range of cinematographic means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including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col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ou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r tinting of the image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to determine character psychology and the moral atmosphere of the space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defin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ing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kind of “cinematic melodrama” and creat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ing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 “visual music”. Other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similar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films from his silent period were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L’inhumaine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Inhuman Woman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1924], a science-fiction drama, and </w:t>
                </w:r>
                <w:hyperlink r:id="rId8" w:history="1">
                  <w:proofErr w:type="spellStart"/>
                  <w:r w:rsidRPr="00E041A2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</w:rPr>
                    <w:t>L’Argent</w:t>
                  </w:r>
                  <w:proofErr w:type="spellEnd"/>
                </w:hyperlink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(1928),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adapted from Emile Zola’s novel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In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the silent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L’Argent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L’Herbier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used sound in an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original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,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recording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real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sound </w:t>
                </w:r>
                <w:proofErr w:type="gram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effects which</w:t>
                </w:r>
                <w:proofErr w:type="gram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were played back in some theat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re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s. When talkies arrived, he renounced the avant-garde,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but still made such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interesting films as 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Mystère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 la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chambre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jaune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[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Mystery of the Yellow Room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1930] based on Gaston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Leroux’s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novel, and 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Nuit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fantastique</w:t>
                </w:r>
                <w:proofErr w:type="spellEnd"/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Pr="00E041A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Fantastic Night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1942].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L’Herbier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was also the founder in 1944 of the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Institut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des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Hautes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Études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proofErr w:type="spellStart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Cinématographiques</w:t>
                </w:r>
                <w:proofErr w:type="spellEnd"/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In the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</w:t>
                </w:r>
                <w:r w:rsidRPr="00E041A2">
                  <w:rPr>
                    <w:rFonts w:ascii="Times New Roman" w:hAnsi="Times New Roman" w:cs="Times New Roman"/>
                    <w:sz w:val="24"/>
                    <w:szCs w:val="24"/>
                  </w:rPr>
                  <w:t>ost-war period he poured his energy into television productions.</w:t>
                </w:r>
              </w:p>
              <w:p w:rsidR="000D63EC" w:rsidRDefault="000D63EC" w:rsidP="00C27FAB"/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>Filmography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Rose-France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(1919)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El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Dorado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>(1921)</w:t>
                </w:r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Résurrection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(1923)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L’inhumaine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4A5B0D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Inhuman Woman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1924]</w:t>
                </w:r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Feu</w:t>
                </w:r>
                <w:proofErr w:type="spellEnd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Mathias Pascal </w:t>
                </w:r>
                <w:r w:rsidRPr="00E42210">
                  <w:rPr>
                    <w:rFonts w:ascii="Times New Roman" w:hAnsi="Times New Roman" w:cs="Times New Roman"/>
                    <w:sz w:val="24"/>
                    <w:szCs w:val="24"/>
                  </w:rPr>
                  <w:t>(1926)</w:t>
                </w:r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Vertige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(1926)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9" w:history="1">
                  <w:proofErr w:type="spellStart"/>
                  <w:r w:rsidRPr="00B266B2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L’Argent</w:t>
                  </w:r>
                  <w:proofErr w:type="spellEnd"/>
                </w:hyperlink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(1928)</w:t>
                </w:r>
              </w:p>
              <w:p w:rsidR="000D63EC" w:rsidRPr="00660A32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Le </w:t>
                </w:r>
                <w:proofErr w:type="spellStart"/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Diable</w:t>
                </w:r>
                <w:proofErr w:type="spellEnd"/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au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Coeur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Devil in the Heart,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1928]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Le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Mystère</w:t>
                </w:r>
                <w:proofErr w:type="spellEnd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de la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chambre</w:t>
                </w:r>
                <w:proofErr w:type="spellEnd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jaune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[</w:t>
                </w:r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Mystery of the Yellow Room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1930]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Le Bonheur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(1935)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Tragédie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impériale</w:t>
                </w:r>
                <w:proofErr w:type="spellEnd"/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(1938)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lastRenderedPageBreak/>
                  <w:t xml:space="preserve">La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Nuit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fantastique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The Fantastic </w:t>
                </w:r>
                <w:r w:rsidRPr="00802B8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Night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1942]</w:t>
                </w:r>
              </w:p>
              <w:p w:rsidR="000D63EC" w:rsidRPr="00D1673A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Au petit Bonheur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Queen’s Necklace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, 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1946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Père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 mademoiselle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(1953)</w:t>
                </w:r>
              </w:p>
              <w:p w:rsidR="000D63EC" w:rsidRPr="00D1673A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Cinéma</w:t>
                </w:r>
                <w:proofErr w:type="spellEnd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du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Diable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(1967) (doc.)</w:t>
                </w:r>
              </w:p>
              <w:p w:rsidR="000D63EC" w:rsidRPr="006C2523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féerie</w:t>
                </w:r>
                <w:proofErr w:type="spellEnd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des </w:t>
                </w:r>
                <w:proofErr w:type="spellStart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fantasmes</w:t>
                </w:r>
                <w:proofErr w:type="spellEnd"/>
                <w:r w:rsidRPr="006C252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(1975)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(doc.)</w:t>
                </w: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Pr="00CB029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Paratextual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material</w:t>
                </w:r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153A6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“</w:t>
                </w:r>
                <w:proofErr w:type="spellStart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Marcel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”, in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International Dictionary of Films and Filmmakers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2001. Encyclopedia.com, 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&lt;http://www.encyclopedia.com&gt;.</w:t>
                </w:r>
              </w:p>
              <w:p w:rsidR="000D63EC" w:rsidRPr="00153A6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E42210" w:rsidRDefault="000D63EC" w:rsidP="000D63EC">
                <w:pPr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r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http://www.fashioninfilm.com/festival/marcel-lherbier-fabricating-dreams/</w:t>
                  </w:r>
                </w:hyperlink>
              </w:p>
              <w:p w:rsidR="000D63EC" w:rsidRPr="00E4221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https://www.facebook.com/events/581933408492752/</w:t>
                  </w:r>
                </w:hyperlink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Marcel </w:t>
                </w:r>
                <w:proofErr w:type="spellStart"/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</w:t>
                </w:r>
                <w:proofErr w:type="spellEnd"/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: Fabricating Dreams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The 4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  <w:lang w:val="en-US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Fashion in Film Festival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(2013)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Pr="005C123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http://filmhistoryinthemaking.com/2014/02/16/a-note-on-early-film-historiography-in-paris-and-marcel-lherbiers-lhomme-du-large-1920/</w:t>
                  </w:r>
                </w:hyperlink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note on 1920s film historiography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n Paris and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L’Herbier’s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L’Homme</w:t>
                </w:r>
                <w:proofErr w:type="spellEnd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du large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(2014)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Pr="00ED039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http://www.jonathanrosenbaum.net/2008/06/meet-marcel-lherbier/</w:t>
                  </w:r>
                </w:hyperlink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Website by Jonathan Rosenbaum with good photos.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F40F73" w:rsidRDefault="000D63EC" w:rsidP="000D63EC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4" w:history="1">
                  <w:r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http://www.youtube.com/watch?v=hPgOv3z5348</w:t>
                  </w:r>
                </w:hyperlink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:rsidR="000D63EC" w:rsidRPr="00056CDE" w:rsidRDefault="000D63EC" w:rsidP="000D63EC">
                <w:pPr>
                  <w:jc w:val="both"/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Fragment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from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hyperlink r:id="rId15" w:history="1">
                  <w:proofErr w:type="spellStart"/>
                  <w:r w:rsidRPr="00F40F73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Autour</w:t>
                  </w:r>
                  <w:proofErr w:type="spellEnd"/>
                  <w:r w:rsidRPr="00F40F73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L’Argent</w:t>
                  </w:r>
                  <w:proofErr w:type="spellEnd"/>
                </w:hyperlink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(Jean </w:t>
                </w:r>
                <w:proofErr w:type="spellStart"/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Dréville</w:t>
                </w:r>
                <w:proofErr w:type="spellEnd"/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1928)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the first making-of in History.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4E6613ECA3842A217F52AEC4B9DDE"/>
              </w:placeholder>
            </w:sdtPr>
            <w:sdtEndPr/>
            <w:sdtContent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Blumer</w:t>
                </w:r>
                <w:proofErr w:type="spellEnd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R.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H.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(1970)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“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The Camera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as Snowball: France 1918–1927”,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in </w:t>
                </w:r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Cinema Journal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(Evanston), 9, 2: 31-39.</w:t>
                </w:r>
              </w:p>
              <w:p w:rsidR="000D63EC" w:rsidRPr="00153A6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Burch, 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(1973) </w:t>
                </w:r>
                <w:r w:rsidRPr="00CB5FA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Marcel </w:t>
                </w:r>
                <w:proofErr w:type="spellStart"/>
                <w:r w:rsidRPr="00CB5FA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 w:rsidRPr="00CB5FA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,</w:t>
                </w:r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París</w:t>
                </w:r>
                <w:proofErr w:type="spellEnd"/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: </w:t>
                </w:r>
                <w:proofErr w:type="spellStart"/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Seghers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(in French)</w:t>
                </w:r>
                <w:r w:rsidRPr="00CB5FA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─── (1980) “Marcel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” in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Roud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R. (ed.),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Cinema: A Critical Dictionary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vol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2, London: Martin Secker &amp; Warburg.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─── (1991) “Marcel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” in </w:t>
                </w:r>
                <w:r w:rsidRPr="00CF6F7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In and Out of Synch: T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he Awakening of a Cine-dreamer, </w:t>
                </w:r>
                <w:proofErr w:type="spellStart"/>
                <w:r w:rsidRPr="00CF6F7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Aldershot</w:t>
                </w:r>
                <w:proofErr w:type="spellEnd"/>
                <w:r w:rsidRPr="00CF6F7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:  </w:t>
                </w:r>
                <w:proofErr w:type="spellStart"/>
                <w:r w:rsidRPr="00CF6F7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Scolar</w:t>
                </w:r>
                <w:proofErr w:type="spellEnd"/>
                <w:r w:rsidRPr="00CF6F73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Press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: 32.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153A60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Cousins, R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F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(1984) “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Adapting Zola for the Silent Cinema: The Example of Marcel </w:t>
                </w:r>
                <w:proofErr w:type="spellStart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”, in </w:t>
                </w:r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Literature/Film Quarterly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12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1: 42-49.</w:t>
                </w: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BF2B5F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Fieschi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J.A., and </w:t>
                </w: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Siclier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, J. (1968) “</w:t>
                </w: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Autor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du </w:t>
                </w: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cinématographe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. </w:t>
                </w: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Entretien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avec Marcel </w:t>
                </w:r>
                <w:proofErr w:type="spellStart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L’Herbier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”, in </w:t>
                </w:r>
                <w:r w:rsidRPr="00BF2B5F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Cahiers du </w:t>
                </w:r>
                <w:proofErr w:type="spellStart"/>
                <w:r w:rsidRPr="00BF2B5F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Cinéma</w:t>
                </w:r>
                <w:proofErr w:type="spellEnd"/>
                <w:r w:rsidRPr="00BF2B5F">
                  <w:rPr>
                    <w:rFonts w:ascii="Times New Roman" w:hAnsi="Times New Roman" w:cs="Times New Roman"/>
                    <w:sz w:val="24"/>
                    <w:szCs w:val="24"/>
                  </w:rPr>
                  <w:t>, 202: 26-42.</w:t>
                </w:r>
              </w:p>
              <w:p w:rsidR="000D63EC" w:rsidRPr="00BF2B5F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1F7712">
                  <w:rPr>
                    <w:rFonts w:ascii="Times New Roman" w:hAnsi="Times New Roman" w:cs="Times New Roman"/>
                    <w:sz w:val="24"/>
                    <w:szCs w:val="24"/>
                  </w:rPr>
                  <w:t>L’Herbier</w:t>
                </w:r>
                <w:proofErr w:type="spellEnd"/>
                <w:r w:rsidRPr="001F7712">
                  <w:rPr>
                    <w:rFonts w:ascii="Times New Roman" w:hAnsi="Times New Roman" w:cs="Times New Roman"/>
                    <w:sz w:val="24"/>
                    <w:szCs w:val="24"/>
                  </w:rPr>
                  <w:t>, 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  <w:r w:rsidRPr="001F771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(1923) </w:t>
                </w:r>
                <w:r w:rsidRPr="001F771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El </w:t>
                </w:r>
                <w:proofErr w:type="spellStart"/>
                <w:r w:rsidRPr="001F7712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Dorado</w:t>
                </w:r>
                <w:proofErr w:type="spellEnd"/>
                <w:r w:rsidRPr="001F7712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Paris: Editions de La Lampe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Merveilleuse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0D63EC" w:rsidRPr="00CB15D1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─── (1946) </w:t>
                </w: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Intelligence de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cinématographe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Paris: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Corréa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</w:rPr>
                  <w:t>(revised 1977)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.</w:t>
                </w:r>
              </w:p>
              <w:p w:rsidR="000D63EC" w:rsidRPr="00BF2B5F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Default="000D63EC" w:rsidP="000D63EC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Rège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</w:t>
                </w: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Philippe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(2010) “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, Marcel” in </w:t>
                </w:r>
                <w:r w:rsidRPr="0080589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Encyclopedia of French Film Directors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Maryland: Scarecrow Press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:638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-639.</w:t>
                </w:r>
              </w:p>
              <w:p w:rsidR="003235A7" w:rsidRDefault="000D63EC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3EC" w:rsidRDefault="000D63EC" w:rsidP="007A0D55">
      <w:pPr>
        <w:spacing w:after="0" w:line="240" w:lineRule="auto"/>
      </w:pPr>
      <w:r>
        <w:separator/>
      </w:r>
    </w:p>
  </w:endnote>
  <w:endnote w:type="continuationSeparator" w:id="0">
    <w:p w:rsidR="000D63EC" w:rsidRDefault="000D63E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3EC" w:rsidRDefault="000D63EC" w:rsidP="007A0D55">
      <w:pPr>
        <w:spacing w:after="0" w:line="240" w:lineRule="auto"/>
      </w:pPr>
      <w:r>
        <w:separator/>
      </w:r>
    </w:p>
  </w:footnote>
  <w:footnote w:type="continuationSeparator" w:id="0">
    <w:p w:rsidR="000D63EC" w:rsidRDefault="000D63E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EC"/>
    <w:rsid w:val="00032559"/>
    <w:rsid w:val="00052040"/>
    <w:rsid w:val="000B25AE"/>
    <w:rsid w:val="000B55AB"/>
    <w:rsid w:val="000D24DC"/>
    <w:rsid w:val="000D63E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events/581933408492752/" TargetMode="External"/><Relationship Id="rId12" Type="http://schemas.openxmlformats.org/officeDocument/2006/relationships/hyperlink" Target="http://filmhistoryinthemaking.com/2014/02/16/a-note-on-early-film-historiography-in-paris-and-marcel-lherbiers-lhomme-du-large-1920/" TargetMode="External"/><Relationship Id="rId13" Type="http://schemas.openxmlformats.org/officeDocument/2006/relationships/hyperlink" Target="http://www.jonathanrosenbaum.net/2008/06/meet-marcel-lherbier/" TargetMode="External"/><Relationship Id="rId14" Type="http://schemas.openxmlformats.org/officeDocument/2006/relationships/hyperlink" Target="http://www.youtube.com/watch?v=hPgOv3z5348" TargetMode="External"/><Relationship Id="rId15" Type="http://schemas.openxmlformats.org/officeDocument/2006/relationships/hyperlink" Target="http://www.youtube.com/watch?v=hPgOv3z5348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ne_tcxgwNr0" TargetMode="External"/><Relationship Id="rId9" Type="http://schemas.openxmlformats.org/officeDocument/2006/relationships/hyperlink" Target="https://www.youtube.com/watch?v=ne_tcxgwNr0" TargetMode="External"/><Relationship Id="rId10" Type="http://schemas.openxmlformats.org/officeDocument/2006/relationships/hyperlink" Target="http://www.fashioninfilm.com/festival/marcel-lherbier-fabricating-dream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8EEED5C9FBF4B92C497F02259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9426-EB30-F04D-A0B9-495CDE23EB0F}"/>
      </w:docPartPr>
      <w:docPartBody>
        <w:p w:rsidR="00000000" w:rsidRDefault="004E117A">
          <w:pPr>
            <w:pStyle w:val="3408EEED5C9FBF4B92C497F022599D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B0F63153EB6C24CADD8EEB7713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E90C-7EAF-5D4E-A006-BCDEC5CB9636}"/>
      </w:docPartPr>
      <w:docPartBody>
        <w:p w:rsidR="00000000" w:rsidRDefault="004E117A">
          <w:pPr>
            <w:pStyle w:val="DB0F63153EB6C24CADD8EEB7713503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2B25F755B86046A2B5749BD69E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2FAE-AEAB-4942-9794-DC8352692ABF}"/>
      </w:docPartPr>
      <w:docPartBody>
        <w:p w:rsidR="00000000" w:rsidRDefault="004E117A">
          <w:pPr>
            <w:pStyle w:val="2A2B25F755B86046A2B5749BD69E44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8DE1122CE49B458E6D17E944D7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1101A-BB22-1F42-BF9A-0A227BDDB3E0}"/>
      </w:docPartPr>
      <w:docPartBody>
        <w:p w:rsidR="00000000" w:rsidRDefault="004E117A">
          <w:pPr>
            <w:pStyle w:val="5B8DE1122CE49B458E6D17E944D7FD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D7C422DD4436647BBBF777E7BF99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87B7-EF36-4F45-AAF4-CC4EF9BED188}"/>
      </w:docPartPr>
      <w:docPartBody>
        <w:p w:rsidR="00000000" w:rsidRDefault="004E117A">
          <w:pPr>
            <w:pStyle w:val="CD7C422DD4436647BBBF777E7BF997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483F8B4C941F4E931834B3BED6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DDC02-98C4-164B-BE1C-ECA1BE25F7F7}"/>
      </w:docPartPr>
      <w:docPartBody>
        <w:p w:rsidR="00000000" w:rsidRDefault="004E117A">
          <w:pPr>
            <w:pStyle w:val="92483F8B4C941F4E931834B3BED6BF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E4F234C8F1A14891173E905E20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4047-2D6E-6D47-A387-FEFC15F924B4}"/>
      </w:docPartPr>
      <w:docPartBody>
        <w:p w:rsidR="00000000" w:rsidRDefault="004E117A">
          <w:pPr>
            <w:pStyle w:val="16E4F234C8F1A14891173E905E2091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1909B92D2520743AACE9EC989C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7064-DF47-A946-9DB8-FD09CEE549C6}"/>
      </w:docPartPr>
      <w:docPartBody>
        <w:p w:rsidR="00000000" w:rsidRDefault="004E117A">
          <w:pPr>
            <w:pStyle w:val="21909B92D2520743AACE9EC989C2AD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219A4A9453B24E826B4CD327AE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0C0D-D598-EB46-B2D2-76A799311504}"/>
      </w:docPartPr>
      <w:docPartBody>
        <w:p w:rsidR="00000000" w:rsidRDefault="004E117A">
          <w:pPr>
            <w:pStyle w:val="2D219A4A9453B24E826B4CD327AE68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17A9C6D066FF499F5CB5FD816B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0A28-92EE-DA45-97AD-98B7C06316A0}"/>
      </w:docPartPr>
      <w:docPartBody>
        <w:p w:rsidR="00000000" w:rsidRDefault="004E117A">
          <w:pPr>
            <w:pStyle w:val="0717A9C6D066FF499F5CB5FD816B62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E4E6613ECA3842A217F52AEC4B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2FA02-CF87-E64C-8F8D-70CA0558A927}"/>
      </w:docPartPr>
      <w:docPartBody>
        <w:p w:rsidR="00000000" w:rsidRDefault="004E117A">
          <w:pPr>
            <w:pStyle w:val="AFE4E6613ECA3842A217F52AEC4B9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717</Words>
  <Characters>4091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2015-02-10T19:32:00Z</dcterms:created>
  <dcterms:modified xsi:type="dcterms:W3CDTF">2015-02-10T19:34:00Z</dcterms:modified>
</cp:coreProperties>
</file>