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E52E91DCA1034C88D1C6F5C3383FF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EB731DFF4FC4459CA425DF07705168"/>
            </w:placeholder>
            <w:text/>
          </w:sdtPr>
          <w:sdtContent>
            <w:tc>
              <w:tcPr>
                <w:tcW w:w="2073" w:type="dxa"/>
              </w:tcPr>
              <w:p w:rsidR="00B574C9" w:rsidRDefault="00402DBE" w:rsidP="00402DBE">
                <w:r>
                  <w:t>Nicholas</w:t>
                </w:r>
              </w:p>
            </w:tc>
          </w:sdtContent>
        </w:sdt>
        <w:sdt>
          <w:sdtPr>
            <w:alias w:val="Middle name"/>
            <w:tag w:val="authorMiddleName"/>
            <w:id w:val="-2076034781"/>
            <w:placeholder>
              <w:docPart w:val="F01AE836CE9D0E45B478C8FA0450C1E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C5AE4169C5D445B8392CD6114E2871"/>
            </w:placeholder>
            <w:text/>
          </w:sdtPr>
          <w:sdtContent>
            <w:tc>
              <w:tcPr>
                <w:tcW w:w="2642" w:type="dxa"/>
              </w:tcPr>
              <w:p w:rsidR="00B574C9" w:rsidRDefault="00402DBE" w:rsidP="00402DBE">
                <w:proofErr w:type="spellStart"/>
                <w:r>
                  <w:t>Reyland</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0ADE58604CC40409A0872BF97E5248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F3423C387AAF348BDDB01A2F6067D3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24DE616C52C9B499A2FB09E7413F69E"/>
            </w:placeholder>
            <w:text/>
          </w:sdtPr>
          <w:sdtContent>
            <w:tc>
              <w:tcPr>
                <w:tcW w:w="9016" w:type="dxa"/>
                <w:tcMar>
                  <w:top w:w="113" w:type="dxa"/>
                  <w:bottom w:w="113" w:type="dxa"/>
                </w:tcMar>
              </w:tcPr>
              <w:p w:rsidR="003F0D73" w:rsidRPr="00FB589A" w:rsidRDefault="00402DBE" w:rsidP="00E03B3D">
                <w:pPr>
                  <w:rPr>
                    <w:b/>
                  </w:rPr>
                </w:pPr>
                <w:proofErr w:type="spellStart"/>
                <w:r>
                  <w:rPr>
                    <w:rFonts w:cs="Arial"/>
                    <w:color w:val="262626"/>
                  </w:rPr>
                  <w:t>Witold</w:t>
                </w:r>
                <w:proofErr w:type="spellEnd"/>
                <w:r>
                  <w:rPr>
                    <w:rFonts w:cs="Arial"/>
                    <w:color w:val="262626"/>
                  </w:rPr>
                  <w:t xml:space="preserve"> </w:t>
                </w:r>
                <w:proofErr w:type="spellStart"/>
                <w:r w:rsidRPr="00F54952">
                  <w:t>Lutosławski</w:t>
                </w:r>
                <w:proofErr w:type="spellEnd"/>
                <w:r>
                  <w:t xml:space="preserve"> (1913-1994)</w:t>
                </w:r>
              </w:p>
            </w:tc>
          </w:sdtContent>
        </w:sdt>
      </w:tr>
      <w:tr w:rsidR="00464699" w:rsidTr="00E03B3D">
        <w:sdt>
          <w:sdtPr>
            <w:alias w:val="Variant headwords"/>
            <w:tag w:val="variantHeadwords"/>
            <w:id w:val="173464402"/>
            <w:placeholder>
              <w:docPart w:val="285A5F7DFCC79E418A76E54121D616A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A658CBAD083844FA57631B051DF58AE"/>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0C23AC03F0E744CBB1C9094A1A3A881"/>
            </w:placeholder>
          </w:sdtPr>
          <w:sdtContent>
            <w:tc>
              <w:tcPr>
                <w:tcW w:w="9016" w:type="dxa"/>
                <w:tcMar>
                  <w:top w:w="113" w:type="dxa"/>
                  <w:bottom w:w="113" w:type="dxa"/>
                </w:tcMar>
              </w:tcPr>
              <w:p w:rsidR="00402DBE" w:rsidRPr="00F54952" w:rsidRDefault="00402DBE" w:rsidP="00402DBE">
                <w:pPr>
                  <w:rPr>
                    <w:rFonts w:asciiTheme="majorHAnsi" w:hAnsiTheme="majorHAnsi"/>
                    <w:b/>
                  </w:rPr>
                </w:pPr>
                <w:r>
                  <w:rPr>
                    <w:rFonts w:asciiTheme="majorHAnsi" w:hAnsiTheme="majorHAnsi" w:cs="Arial"/>
                    <w:color w:val="262626"/>
                  </w:rPr>
                  <w:t xml:space="preserve">The music and life of Polish composer </w:t>
                </w:r>
                <w:proofErr w:type="spellStart"/>
                <w:r>
                  <w:rPr>
                    <w:rFonts w:asciiTheme="majorHAnsi" w:hAnsiTheme="majorHAnsi" w:cs="Arial"/>
                    <w:color w:val="262626"/>
                  </w:rPr>
                  <w:t>Witold</w:t>
                </w:r>
                <w:proofErr w:type="spellEnd"/>
                <w:r>
                  <w:rPr>
                    <w:rFonts w:asciiTheme="majorHAnsi" w:hAnsiTheme="majorHAnsi" w:cs="Arial"/>
                    <w:color w:val="262626"/>
                  </w:rPr>
                  <w:t xml:space="preserve"> </w:t>
                </w:r>
                <w:proofErr w:type="spellStart"/>
                <w:r w:rsidRPr="00F54952">
                  <w:rPr>
                    <w:rFonts w:asciiTheme="majorHAnsi" w:hAnsiTheme="majorHAnsi"/>
                  </w:rPr>
                  <w:t>Lutosławski</w:t>
                </w:r>
                <w:proofErr w:type="spellEnd"/>
                <w:r>
                  <w:rPr>
                    <w:rFonts w:asciiTheme="majorHAnsi" w:hAnsiTheme="majorHAnsi"/>
                  </w:rPr>
                  <w:t xml:space="preserve"> (1913-1994) pivoted around key events in his country’s tumultuous twentieth-century history. The so-called cultural ‘thaw’ at the end of Stalinism in the mid 1950s permitted Poland’s composers to begin experiments in a range of modernist styles. </w:t>
                </w:r>
                <w:proofErr w:type="spellStart"/>
                <w:r w:rsidRPr="00F54952">
                  <w:rPr>
                    <w:rFonts w:asciiTheme="majorHAnsi" w:hAnsiTheme="majorHAnsi"/>
                  </w:rPr>
                  <w:t>Lutosławski</w:t>
                </w:r>
                <w:proofErr w:type="spellEnd"/>
                <w:r>
                  <w:rPr>
                    <w:rFonts w:asciiTheme="majorHAnsi" w:hAnsiTheme="majorHAnsi"/>
                  </w:rPr>
                  <w:t xml:space="preserve"> forged a unique voice by exploring tensions between the classicist sensibility underpinning his neoclassical pre-thaw compositions (a style that had brought him into a position of </w:t>
                </w:r>
                <w:proofErr w:type="spellStart"/>
                <w:r>
                  <w:rPr>
                    <w:rFonts w:asciiTheme="majorHAnsi" w:hAnsiTheme="majorHAnsi"/>
                  </w:rPr>
                  <w:t>preeminence</w:t>
                </w:r>
                <w:proofErr w:type="spellEnd"/>
                <w:r>
                  <w:rPr>
                    <w:rFonts w:asciiTheme="majorHAnsi" w:hAnsiTheme="majorHAnsi"/>
                  </w:rPr>
                  <w:t xml:space="preserve"> in Poland) and more radical, avant-garde alternatives. So while he created individualistic and, often, beautiful solutions to post-tonal compositional problems of pitch organization, rhythm, texture, orchestration and long-range musical structuring, his greater contribution was </w:t>
                </w:r>
                <w:proofErr w:type="spellStart"/>
                <w:r>
                  <w:rPr>
                    <w:rFonts w:asciiTheme="majorHAnsi" w:hAnsiTheme="majorHAnsi"/>
                  </w:rPr>
                  <w:t>marshaling</w:t>
                </w:r>
                <w:proofErr w:type="spellEnd"/>
                <w:r>
                  <w:rPr>
                    <w:rFonts w:asciiTheme="majorHAnsi" w:hAnsiTheme="majorHAnsi"/>
                  </w:rPr>
                  <w:t xml:space="preserve"> his technique to compose powerfully affecting musical narratives responding, albeit obliquely, to the events and cultural atmospheres of his life and times. In major works including his </w:t>
                </w:r>
                <w:proofErr w:type="spellStart"/>
                <w:r>
                  <w:rPr>
                    <w:rFonts w:asciiTheme="majorHAnsi" w:hAnsiTheme="majorHAnsi"/>
                    <w:i/>
                  </w:rPr>
                  <w:t>Trois</w:t>
                </w:r>
                <w:proofErr w:type="spellEnd"/>
                <w:r>
                  <w:rPr>
                    <w:rFonts w:asciiTheme="majorHAnsi" w:hAnsiTheme="majorHAnsi"/>
                    <w:i/>
                  </w:rPr>
                  <w:t xml:space="preserve"> poems </w:t>
                </w:r>
                <w:proofErr w:type="spellStart"/>
                <w:r>
                  <w:rPr>
                    <w:rFonts w:asciiTheme="majorHAnsi" w:hAnsiTheme="majorHAnsi"/>
                    <w:i/>
                  </w:rPr>
                  <w:t>d’Henri</w:t>
                </w:r>
                <w:proofErr w:type="spellEnd"/>
                <w:r>
                  <w:rPr>
                    <w:rFonts w:asciiTheme="majorHAnsi" w:hAnsiTheme="majorHAnsi"/>
                    <w:i/>
                  </w:rPr>
                  <w:t xml:space="preserve"> </w:t>
                </w:r>
                <w:proofErr w:type="spellStart"/>
                <w:r w:rsidRPr="00D95618">
                  <w:rPr>
                    <w:rFonts w:asciiTheme="majorHAnsi" w:hAnsiTheme="majorHAnsi"/>
                    <w:i/>
                  </w:rPr>
                  <w:t>Michaux</w:t>
                </w:r>
                <w:proofErr w:type="spellEnd"/>
                <w:r>
                  <w:rPr>
                    <w:rFonts w:asciiTheme="majorHAnsi" w:hAnsiTheme="majorHAnsi"/>
                  </w:rPr>
                  <w:t xml:space="preserve">, String Quartet, </w:t>
                </w:r>
                <w:proofErr w:type="spellStart"/>
                <w:r w:rsidRPr="00D95618">
                  <w:rPr>
                    <w:rFonts w:asciiTheme="majorHAnsi" w:hAnsiTheme="majorHAnsi"/>
                    <w:i/>
                  </w:rPr>
                  <w:t>Livre</w:t>
                </w:r>
                <w:proofErr w:type="spellEnd"/>
                <w:r w:rsidRPr="00D95618">
                  <w:rPr>
                    <w:rFonts w:asciiTheme="majorHAnsi" w:hAnsiTheme="majorHAnsi"/>
                    <w:i/>
                  </w:rPr>
                  <w:t xml:space="preserve"> </w:t>
                </w:r>
                <w:r>
                  <w:rPr>
                    <w:rFonts w:asciiTheme="majorHAnsi" w:hAnsiTheme="majorHAnsi"/>
                    <w:i/>
                  </w:rPr>
                  <w:t xml:space="preserve">pour </w:t>
                </w:r>
                <w:proofErr w:type="spellStart"/>
                <w:r>
                  <w:rPr>
                    <w:rFonts w:asciiTheme="majorHAnsi" w:hAnsiTheme="majorHAnsi"/>
                    <w:i/>
                  </w:rPr>
                  <w:t>orchestre</w:t>
                </w:r>
                <w:proofErr w:type="spellEnd"/>
                <w:r>
                  <w:rPr>
                    <w:rFonts w:asciiTheme="majorHAnsi" w:hAnsiTheme="majorHAnsi"/>
                  </w:rPr>
                  <w:t xml:space="preserve">, Cello Concerto, </w:t>
                </w:r>
                <w:proofErr w:type="spellStart"/>
                <w:r>
                  <w:rPr>
                    <w:rFonts w:asciiTheme="majorHAnsi" w:hAnsiTheme="majorHAnsi"/>
                    <w:i/>
                  </w:rPr>
                  <w:t>Mi-parti</w:t>
                </w:r>
                <w:proofErr w:type="spellEnd"/>
                <w:r>
                  <w:rPr>
                    <w:rFonts w:asciiTheme="majorHAnsi" w:hAnsiTheme="majorHAnsi"/>
                  </w:rPr>
                  <w:t xml:space="preserve">, Piano Concerto, </w:t>
                </w:r>
                <w:r>
                  <w:rPr>
                    <w:rFonts w:asciiTheme="majorHAnsi" w:hAnsiTheme="majorHAnsi"/>
                    <w:i/>
                  </w:rPr>
                  <w:t>Chain 2</w:t>
                </w:r>
                <w:r>
                  <w:rPr>
                    <w:rFonts w:asciiTheme="majorHAnsi" w:hAnsiTheme="majorHAnsi"/>
                  </w:rPr>
                  <w:t xml:space="preserve"> and Symphony No. 4 – compositions that brought him international recognition as one of the mid-to-late twentieth century’s finest composers – </w:t>
                </w:r>
                <w:proofErr w:type="spellStart"/>
                <w:r w:rsidRPr="00F54952">
                  <w:rPr>
                    <w:rFonts w:asciiTheme="majorHAnsi" w:hAnsiTheme="majorHAnsi"/>
                  </w:rPr>
                  <w:t>Lutosławski</w:t>
                </w:r>
                <w:proofErr w:type="spellEnd"/>
                <w:r>
                  <w:rPr>
                    <w:rFonts w:asciiTheme="majorHAnsi" w:hAnsiTheme="majorHAnsi"/>
                  </w:rPr>
                  <w:t xml:space="preserve"> created (to speak drily) modernist musical narratives exploring the problems of plot and representation in an innovative language, or (to speak more evocatively) structures of feeling and form that transcend the mundane specificity of programme music to offer visceral, spellbinding and moving testimony on the late-modern human experience, and from a distinctive Polish perspective.</w:t>
                </w:r>
              </w:p>
              <w:p w:rsidR="00402DBE" w:rsidRDefault="00402DBE" w:rsidP="00402DBE">
                <w:pPr>
                  <w:rPr>
                    <w:rFonts w:asciiTheme="majorHAnsi" w:hAnsiTheme="majorHAnsi"/>
                  </w:rPr>
                </w:pPr>
              </w:p>
              <w:p w:rsidR="00402DBE" w:rsidRPr="00F54952" w:rsidRDefault="00402DBE" w:rsidP="00402DBE">
                <w:pPr>
                  <w:rPr>
                    <w:rFonts w:asciiTheme="majorHAnsi" w:hAnsiTheme="majorHAnsi"/>
                  </w:rPr>
                </w:pPr>
                <w:r w:rsidRPr="00F54952">
                  <w:rPr>
                    <w:rFonts w:asciiTheme="majorHAnsi" w:hAnsiTheme="majorHAnsi"/>
                  </w:rPr>
                  <w:t xml:space="preserve">From the outbreak of World War II until Stalin’s death in 1953, Poland existed (when its territory existed at all) in a kind of art music bubble. Composers, if they were able to work, mainly operated within a pre-war, neoclassical framework that later proved adaptable to Stalinist socialist realism. Consequently, the cultural thaw following Stalin’s demise delivered musical shocks of the new and not so new. Through channels including the vital Warsaw Autumn festival, Poles discovered developments of musical high modernism emanating from </w:t>
                </w:r>
                <w:r>
                  <w:rPr>
                    <w:rFonts w:asciiTheme="majorHAnsi" w:hAnsiTheme="majorHAnsi"/>
                  </w:rPr>
                  <w:t xml:space="preserve">centres like </w:t>
                </w:r>
                <w:r w:rsidRPr="00F54952">
                  <w:rPr>
                    <w:rFonts w:asciiTheme="majorHAnsi" w:hAnsiTheme="majorHAnsi"/>
                  </w:rPr>
                  <w:t>Paris, New York</w:t>
                </w:r>
                <w:r>
                  <w:rPr>
                    <w:rFonts w:asciiTheme="majorHAnsi" w:hAnsiTheme="majorHAnsi"/>
                  </w:rPr>
                  <w:t xml:space="preserve"> and </w:t>
                </w:r>
                <w:r w:rsidRPr="00F54952">
                  <w:rPr>
                    <w:rFonts w:asciiTheme="majorHAnsi" w:hAnsiTheme="majorHAnsi"/>
                  </w:rPr>
                  <w:t xml:space="preserve">Darmstadt; they also began more fully to explore earlier modernism and other classicisms emerging from the West and further east. Encountering ‘new’ </w:t>
                </w:r>
                <w:r>
                  <w:rPr>
                    <w:rFonts w:asciiTheme="majorHAnsi" w:hAnsiTheme="majorHAnsi"/>
                  </w:rPr>
                  <w:t>voices</w:t>
                </w:r>
                <w:r w:rsidRPr="00F54952">
                  <w:rPr>
                    <w:rFonts w:asciiTheme="majorHAnsi" w:hAnsiTheme="majorHAnsi"/>
                  </w:rPr>
                  <w:t xml:space="preserve"> ranging from </w:t>
                </w:r>
                <w:proofErr w:type="spellStart"/>
                <w:r w:rsidRPr="00F54952">
                  <w:rPr>
                    <w:rFonts w:asciiTheme="majorHAnsi" w:hAnsiTheme="majorHAnsi"/>
                  </w:rPr>
                  <w:t>Berio</w:t>
                </w:r>
                <w:proofErr w:type="spellEnd"/>
                <w:r w:rsidRPr="00F54952">
                  <w:rPr>
                    <w:rFonts w:asciiTheme="majorHAnsi" w:hAnsiTheme="majorHAnsi"/>
                  </w:rPr>
                  <w:t xml:space="preserve"> to Britten, Stravinsky to Stockhausen, Polish composers redrew music’s map, seeking </w:t>
                </w:r>
                <w:r>
                  <w:rPr>
                    <w:rFonts w:asciiTheme="majorHAnsi" w:hAnsiTheme="majorHAnsi"/>
                  </w:rPr>
                  <w:t>their</w:t>
                </w:r>
                <w:r w:rsidRPr="00F54952">
                  <w:rPr>
                    <w:rFonts w:asciiTheme="majorHAnsi" w:hAnsiTheme="majorHAnsi"/>
                  </w:rPr>
                  <w:t xml:space="preserve"> place within its territories. </w:t>
                </w:r>
              </w:p>
              <w:p w:rsidR="00402DBE" w:rsidRPr="00F54952" w:rsidRDefault="00402DBE" w:rsidP="00402DBE">
                <w:pPr>
                  <w:rPr>
                    <w:rFonts w:asciiTheme="majorHAnsi" w:hAnsiTheme="majorHAnsi"/>
                  </w:rPr>
                </w:pPr>
              </w:p>
              <w:p w:rsidR="00402DBE" w:rsidRPr="00F54952" w:rsidRDefault="00402DBE" w:rsidP="00402DBE">
                <w:pPr>
                  <w:rPr>
                    <w:rFonts w:asciiTheme="majorHAnsi" w:hAnsiTheme="majorHAnsi"/>
                  </w:rPr>
                </w:pPr>
                <w:r w:rsidRPr="00F54952">
                  <w:rPr>
                    <w:rFonts w:asciiTheme="majorHAnsi" w:hAnsiTheme="majorHAnsi"/>
                  </w:rPr>
                  <w:t xml:space="preserve">Poland’s most accomplished musical cartographer was </w:t>
                </w:r>
                <w:proofErr w:type="spellStart"/>
                <w:r w:rsidRPr="00F54952">
                  <w:rPr>
                    <w:rFonts w:asciiTheme="majorHAnsi" w:hAnsiTheme="majorHAnsi"/>
                  </w:rPr>
                  <w:t>Witold</w:t>
                </w:r>
                <w:proofErr w:type="spellEnd"/>
                <w:r w:rsidRPr="00F54952">
                  <w:rPr>
                    <w:rFonts w:asciiTheme="majorHAnsi" w:hAnsiTheme="majorHAnsi"/>
                  </w:rPr>
                  <w:t xml:space="preserve"> </w:t>
                </w:r>
                <w:proofErr w:type="spellStart"/>
                <w:r w:rsidRPr="00F54952">
                  <w:rPr>
                    <w:rFonts w:asciiTheme="majorHAnsi" w:hAnsiTheme="majorHAnsi"/>
                  </w:rPr>
                  <w:t>Lutosławski</w:t>
                </w:r>
                <w:proofErr w:type="spellEnd"/>
                <w:r w:rsidRPr="00F54952">
                  <w:rPr>
                    <w:rFonts w:asciiTheme="majorHAnsi" w:hAnsiTheme="majorHAnsi"/>
                  </w:rPr>
                  <w:t xml:space="preserve">. His finest works from the mid 1960s until his death in 1994 mark the most nuanced response to Poland’s modernist musical moment. Aged 40 by the end of Stalin’s reign, and a composer whose technical mastery </w:t>
                </w:r>
                <w:r w:rsidRPr="00F54952">
                  <w:rPr>
                    <w:rFonts w:asciiTheme="majorHAnsi" w:hAnsiTheme="majorHAnsi"/>
                  </w:rPr>
                  <w:lastRenderedPageBreak/>
                  <w:t xml:space="preserve">had already been displayed in the Technicolor </w:t>
                </w:r>
                <w:proofErr w:type="spellStart"/>
                <w:r w:rsidRPr="00F54952">
                  <w:rPr>
                    <w:rFonts w:asciiTheme="majorHAnsi" w:hAnsiTheme="majorHAnsi"/>
                  </w:rPr>
                  <w:t>symphonism</w:t>
                </w:r>
                <w:proofErr w:type="spellEnd"/>
                <w:r w:rsidRPr="00F54952">
                  <w:rPr>
                    <w:rFonts w:asciiTheme="majorHAnsi" w:hAnsiTheme="majorHAnsi"/>
                  </w:rPr>
                  <w:t xml:space="preserve"> of his </w:t>
                </w:r>
                <w:r>
                  <w:rPr>
                    <w:rFonts w:asciiTheme="majorHAnsi" w:hAnsiTheme="majorHAnsi"/>
                  </w:rPr>
                  <w:t xml:space="preserve">magnificent </w:t>
                </w:r>
                <w:r w:rsidRPr="00F54952">
                  <w:rPr>
                    <w:rFonts w:asciiTheme="majorHAnsi" w:hAnsiTheme="majorHAnsi"/>
                    <w:i/>
                  </w:rPr>
                  <w:t>Concerto for Orchestra</w:t>
                </w:r>
                <w:r w:rsidRPr="00F54952">
                  <w:rPr>
                    <w:rFonts w:asciiTheme="majorHAnsi" w:hAnsiTheme="majorHAnsi"/>
                  </w:rPr>
                  <w:t xml:space="preserve"> (1950-54), </w:t>
                </w:r>
                <w:proofErr w:type="spellStart"/>
                <w:r w:rsidRPr="00F54952">
                  <w:rPr>
                    <w:rFonts w:asciiTheme="majorHAnsi" w:hAnsiTheme="majorHAnsi"/>
                  </w:rPr>
                  <w:t>Lutosławski’s</w:t>
                </w:r>
                <w:proofErr w:type="spellEnd"/>
                <w:r w:rsidRPr="00F54952">
                  <w:rPr>
                    <w:rFonts w:asciiTheme="majorHAnsi" w:hAnsiTheme="majorHAnsi"/>
                  </w:rPr>
                  <w:t xml:space="preserve"> first modernist achievement was to synthesize a unique voice. Steering clear of fads and fashions from total serialism to </w:t>
                </w:r>
                <w:proofErr w:type="spellStart"/>
                <w:r w:rsidRPr="00F54952">
                  <w:rPr>
                    <w:rFonts w:asciiTheme="majorHAnsi" w:hAnsiTheme="majorHAnsi"/>
                  </w:rPr>
                  <w:t>sonorism</w:t>
                </w:r>
                <w:proofErr w:type="spellEnd"/>
                <w:r w:rsidRPr="00F54952">
                  <w:rPr>
                    <w:rFonts w:asciiTheme="majorHAnsi" w:hAnsiTheme="majorHAnsi"/>
                  </w:rPr>
                  <w:t xml:space="preserve"> (Poland’s own high modernist calling card) – with a life scarred by Bolsheviks, Nazis and Stalinists, </w:t>
                </w:r>
                <w:proofErr w:type="spellStart"/>
                <w:r w:rsidRPr="00F54952">
                  <w:rPr>
                    <w:rFonts w:asciiTheme="majorHAnsi" w:hAnsiTheme="majorHAnsi"/>
                  </w:rPr>
                  <w:t>Lutosławski</w:t>
                </w:r>
                <w:proofErr w:type="spellEnd"/>
                <w:r w:rsidRPr="00F54952">
                  <w:rPr>
                    <w:rFonts w:asciiTheme="majorHAnsi" w:hAnsiTheme="majorHAnsi"/>
                  </w:rPr>
                  <w:t xml:space="preserve"> loathed cultural hegemony in any form – he cherry-picked solutions to technical problems: a touch of </w:t>
                </w:r>
                <w:proofErr w:type="spellStart"/>
                <w:r w:rsidRPr="00F54952">
                  <w:rPr>
                    <w:rFonts w:asciiTheme="majorHAnsi" w:hAnsiTheme="majorHAnsi"/>
                  </w:rPr>
                  <w:t>aleatory</w:t>
                </w:r>
                <w:proofErr w:type="spellEnd"/>
                <w:r w:rsidRPr="00F54952">
                  <w:rPr>
                    <w:rFonts w:asciiTheme="majorHAnsi" w:hAnsiTheme="majorHAnsi"/>
                  </w:rPr>
                  <w:t xml:space="preserve"> here (chance procedures add avant-garde fizz to his rhythms and textures from </w:t>
                </w:r>
                <w:proofErr w:type="spellStart"/>
                <w:r w:rsidRPr="00F54952">
                  <w:rPr>
                    <w:rFonts w:asciiTheme="majorHAnsi" w:hAnsiTheme="majorHAnsi"/>
                    <w:i/>
                  </w:rPr>
                  <w:t>Jeux</w:t>
                </w:r>
                <w:proofErr w:type="spellEnd"/>
                <w:r w:rsidRPr="00F54952">
                  <w:rPr>
                    <w:rFonts w:asciiTheme="majorHAnsi" w:hAnsiTheme="majorHAnsi"/>
                    <w:i/>
                  </w:rPr>
                  <w:t xml:space="preserve"> </w:t>
                </w:r>
                <w:proofErr w:type="spellStart"/>
                <w:r w:rsidRPr="00F54952">
                  <w:rPr>
                    <w:rFonts w:asciiTheme="majorHAnsi" w:hAnsiTheme="majorHAnsi"/>
                    <w:i/>
                  </w:rPr>
                  <w:t>vénitiens</w:t>
                </w:r>
                <w:proofErr w:type="spellEnd"/>
                <w:r w:rsidRPr="00F54952">
                  <w:rPr>
                    <w:rFonts w:asciiTheme="majorHAnsi" w:hAnsiTheme="majorHAnsi"/>
                  </w:rPr>
                  <w:t xml:space="preserve"> [1960-61] onward), a tenet of serialism there (the local microstructures of his pitch organisation and other parameters are often fastidiously controlled, </w:t>
                </w:r>
                <w:r>
                  <w:rPr>
                    <w:rFonts w:asciiTheme="majorHAnsi" w:hAnsiTheme="majorHAnsi"/>
                  </w:rPr>
                  <w:t>although</w:t>
                </w:r>
                <w:r w:rsidRPr="00F54952">
                  <w:rPr>
                    <w:rFonts w:asciiTheme="majorHAnsi" w:hAnsiTheme="majorHAnsi"/>
                  </w:rPr>
                  <w:t xml:space="preserve"> this is never a key point of his music). Equally, however, </w:t>
                </w:r>
                <w:proofErr w:type="spellStart"/>
                <w:r w:rsidRPr="00F54952">
                  <w:rPr>
                    <w:rFonts w:asciiTheme="majorHAnsi" w:hAnsiTheme="majorHAnsi"/>
                  </w:rPr>
                  <w:t>Lutosławski</w:t>
                </w:r>
                <w:proofErr w:type="spellEnd"/>
                <w:r w:rsidRPr="00F54952">
                  <w:rPr>
                    <w:rFonts w:asciiTheme="majorHAnsi" w:hAnsiTheme="majorHAnsi"/>
                  </w:rPr>
                  <w:t xml:space="preserve"> rejected </w:t>
                </w:r>
                <w:r>
                  <w:rPr>
                    <w:rFonts w:asciiTheme="majorHAnsi" w:hAnsiTheme="majorHAnsi"/>
                  </w:rPr>
                  <w:t>certain</w:t>
                </w:r>
                <w:r w:rsidRPr="00F54952">
                  <w:rPr>
                    <w:rFonts w:asciiTheme="majorHAnsi" w:hAnsiTheme="majorHAnsi"/>
                  </w:rPr>
                  <w:t xml:space="preserve"> stylistic traits </w:t>
                </w:r>
                <w:r>
                  <w:rPr>
                    <w:rFonts w:asciiTheme="majorHAnsi" w:hAnsiTheme="majorHAnsi"/>
                  </w:rPr>
                  <w:t xml:space="preserve">of </w:t>
                </w:r>
                <w:r w:rsidRPr="00F54952">
                  <w:rPr>
                    <w:rFonts w:asciiTheme="majorHAnsi" w:hAnsiTheme="majorHAnsi"/>
                  </w:rPr>
                  <w:t xml:space="preserve">musical high </w:t>
                </w:r>
                <w:proofErr w:type="spellStart"/>
                <w:r>
                  <w:rPr>
                    <w:rFonts w:asciiTheme="majorHAnsi" w:hAnsiTheme="majorHAnsi"/>
                  </w:rPr>
                  <w:t>moderni</w:t>
                </w:r>
                <w:r w:rsidRPr="00F54952">
                  <w:rPr>
                    <w:rFonts w:asciiTheme="majorHAnsi" w:hAnsiTheme="majorHAnsi"/>
                  </w:rPr>
                  <w:t>m</w:t>
                </w:r>
                <w:proofErr w:type="spellEnd"/>
                <w:r w:rsidRPr="00F54952">
                  <w:rPr>
                    <w:rFonts w:asciiTheme="majorHAnsi" w:hAnsiTheme="majorHAnsi"/>
                  </w:rPr>
                  <w:t xml:space="preserve">. In place of the harmonic greyness he experienced in </w:t>
                </w:r>
                <w:r>
                  <w:rPr>
                    <w:rFonts w:asciiTheme="majorHAnsi" w:hAnsiTheme="majorHAnsi"/>
                  </w:rPr>
                  <w:t xml:space="preserve">some </w:t>
                </w:r>
                <w:r w:rsidRPr="00F54952">
                  <w:rPr>
                    <w:rFonts w:asciiTheme="majorHAnsi" w:hAnsiTheme="majorHAnsi"/>
                  </w:rPr>
                  <w:t xml:space="preserve">serial music, he went back to Debussy and Ravel to focus on interval and orchestral colour, creating a post-tonal language </w:t>
                </w:r>
                <w:r>
                  <w:rPr>
                    <w:rFonts w:asciiTheme="majorHAnsi" w:hAnsiTheme="majorHAnsi"/>
                  </w:rPr>
                  <w:t>in which to</w:t>
                </w:r>
                <w:r w:rsidRPr="00F54952">
                  <w:rPr>
                    <w:rFonts w:asciiTheme="majorHAnsi" w:hAnsiTheme="majorHAnsi"/>
                  </w:rPr>
                  <w:t xml:space="preserve"> compos</w:t>
                </w:r>
                <w:r>
                  <w:rPr>
                    <w:rFonts w:asciiTheme="majorHAnsi" w:hAnsiTheme="majorHAnsi"/>
                  </w:rPr>
                  <w:t>e</w:t>
                </w:r>
                <w:r w:rsidRPr="00F54952">
                  <w:rPr>
                    <w:rFonts w:asciiTheme="majorHAnsi" w:hAnsiTheme="majorHAnsi"/>
                  </w:rPr>
                  <w:t xml:space="preserve"> themes distinctive enough to act as agents in perceptible long-range structures; thus rejecting moment or open forms, </w:t>
                </w:r>
                <w:r>
                  <w:rPr>
                    <w:rFonts w:asciiTheme="majorHAnsi" w:hAnsiTheme="majorHAnsi"/>
                  </w:rPr>
                  <w:t xml:space="preserve">but not the potential of musical plot to innovate and confront expectations, </w:t>
                </w:r>
                <w:r w:rsidRPr="00F54952">
                  <w:rPr>
                    <w:rFonts w:asciiTheme="majorHAnsi" w:hAnsiTheme="majorHAnsi"/>
                  </w:rPr>
                  <w:t>he continued his pre-thaw interest in the psychological richness of Beethoven</w:t>
                </w:r>
                <w:r>
                  <w:rPr>
                    <w:rFonts w:asciiTheme="majorHAnsi" w:hAnsiTheme="majorHAnsi"/>
                  </w:rPr>
                  <w:t xml:space="preserve"> and Chopin’s</w:t>
                </w:r>
                <w:r w:rsidRPr="00F54952">
                  <w:rPr>
                    <w:rFonts w:asciiTheme="majorHAnsi" w:hAnsiTheme="majorHAnsi"/>
                  </w:rPr>
                  <w:t xml:space="preserve"> approaches to structure. Other Poles attempted similarly protean stylistic blends, but failed. How did </w:t>
                </w:r>
                <w:proofErr w:type="spellStart"/>
                <w:r w:rsidRPr="00F54952">
                  <w:rPr>
                    <w:rFonts w:asciiTheme="majorHAnsi" w:hAnsiTheme="majorHAnsi"/>
                  </w:rPr>
                  <w:t>Lutosławski</w:t>
                </w:r>
                <w:proofErr w:type="spellEnd"/>
                <w:r w:rsidRPr="00F54952">
                  <w:rPr>
                    <w:rFonts w:asciiTheme="majorHAnsi" w:hAnsiTheme="majorHAnsi"/>
                  </w:rPr>
                  <w:t xml:space="preserve"> pull it off, beyond his superior </w:t>
                </w:r>
                <w:r>
                  <w:rPr>
                    <w:rFonts w:asciiTheme="majorHAnsi" w:hAnsiTheme="majorHAnsi"/>
                  </w:rPr>
                  <w:t xml:space="preserve">core </w:t>
                </w:r>
                <w:r w:rsidRPr="00F54952">
                  <w:rPr>
                    <w:rFonts w:asciiTheme="majorHAnsi" w:hAnsiTheme="majorHAnsi"/>
                  </w:rPr>
                  <w:t>compositional technique?</w:t>
                </w:r>
              </w:p>
              <w:p w:rsidR="00402DBE" w:rsidRPr="00F54952" w:rsidRDefault="00402DBE" w:rsidP="00402DBE">
                <w:pPr>
                  <w:rPr>
                    <w:rFonts w:asciiTheme="majorHAnsi" w:hAnsiTheme="majorHAnsi"/>
                  </w:rPr>
                </w:pPr>
              </w:p>
              <w:p w:rsidR="00402DBE" w:rsidRPr="00F54952" w:rsidRDefault="00402DBE" w:rsidP="00402DBE">
                <w:pPr>
                  <w:pStyle w:val="ListBullet"/>
                  <w:tabs>
                    <w:tab w:val="clear" w:pos="360"/>
                  </w:tabs>
                  <w:ind w:left="0" w:firstLine="0"/>
                  <w:rPr>
                    <w:rFonts w:asciiTheme="majorHAnsi" w:hAnsiTheme="majorHAnsi"/>
                  </w:rPr>
                </w:pPr>
                <w:r w:rsidRPr="00F54952">
                  <w:rPr>
                    <w:rFonts w:asciiTheme="majorHAnsi" w:hAnsiTheme="majorHAnsi"/>
                  </w:rPr>
                  <w:t xml:space="preserve">One answer lies in what he termed his music’s ‘actions’. In diverse sonic settings – the evocations of which ranged from dreamscapes to battlefields, dark nights of the soul to crowd scenes – </w:t>
                </w:r>
                <w:proofErr w:type="spellStart"/>
                <w:r w:rsidRPr="00F54952">
                  <w:rPr>
                    <w:rFonts w:asciiTheme="majorHAnsi" w:hAnsiTheme="majorHAnsi"/>
                  </w:rPr>
                  <w:t>Lutosławski</w:t>
                </w:r>
                <w:proofErr w:type="spellEnd"/>
                <w:r w:rsidRPr="00F54952">
                  <w:rPr>
                    <w:rFonts w:asciiTheme="majorHAnsi" w:hAnsiTheme="majorHAnsi"/>
                  </w:rPr>
                  <w:t xml:space="preserve"> deployed his musical means to intensely dramatic ends that undercut the more beguiling qualities of his </w:t>
                </w:r>
                <w:proofErr w:type="spellStart"/>
                <w:r w:rsidRPr="00F54952">
                  <w:rPr>
                    <w:rFonts w:asciiTheme="majorHAnsi" w:hAnsiTheme="majorHAnsi"/>
                  </w:rPr>
                  <w:t>soundworld</w:t>
                </w:r>
                <w:proofErr w:type="spellEnd"/>
                <w:r w:rsidRPr="00F54952">
                  <w:rPr>
                    <w:rFonts w:asciiTheme="majorHAnsi" w:hAnsiTheme="majorHAnsi"/>
                  </w:rPr>
                  <w:t xml:space="preserve"> with </w:t>
                </w:r>
                <w:r>
                  <w:rPr>
                    <w:rFonts w:asciiTheme="majorHAnsi" w:hAnsiTheme="majorHAnsi"/>
                  </w:rPr>
                  <w:t xml:space="preserve">the </w:t>
                </w:r>
                <w:r w:rsidRPr="00F54952">
                  <w:rPr>
                    <w:rFonts w:asciiTheme="majorHAnsi" w:hAnsiTheme="majorHAnsi"/>
                  </w:rPr>
                  <w:t>gestures of violence, tragedy</w:t>
                </w:r>
                <w:r>
                  <w:rPr>
                    <w:rFonts w:asciiTheme="majorHAnsi" w:hAnsiTheme="majorHAnsi"/>
                  </w:rPr>
                  <w:t>, lament</w:t>
                </w:r>
                <w:r w:rsidRPr="00F54952">
                  <w:rPr>
                    <w:rFonts w:asciiTheme="majorHAnsi" w:hAnsiTheme="majorHAnsi"/>
                  </w:rPr>
                  <w:t xml:space="preserve"> and pessimism </w:t>
                </w:r>
                <w:r>
                  <w:rPr>
                    <w:rFonts w:asciiTheme="majorHAnsi" w:hAnsiTheme="majorHAnsi"/>
                  </w:rPr>
                  <w:t>which reveal</w:t>
                </w:r>
                <w:r w:rsidRPr="00F54952">
                  <w:rPr>
                    <w:rFonts w:asciiTheme="majorHAnsi" w:hAnsiTheme="majorHAnsi"/>
                  </w:rPr>
                  <w:t xml:space="preserve"> his connection to broader currents of modernist discourse. Within one recurring form (an end-accented, or hesitant then </w:t>
                </w:r>
                <w:proofErr w:type="spellStart"/>
                <w:r w:rsidRPr="00F54952">
                  <w:rPr>
                    <w:rFonts w:asciiTheme="majorHAnsi" w:hAnsiTheme="majorHAnsi"/>
                  </w:rPr>
                  <w:t>propulsively</w:t>
                </w:r>
                <w:proofErr w:type="spellEnd"/>
                <w:r w:rsidRPr="00F54952">
                  <w:rPr>
                    <w:rFonts w:asciiTheme="majorHAnsi" w:hAnsiTheme="majorHAnsi"/>
                  </w:rPr>
                  <w:t xml:space="preserve"> goal-directed, two-part structure), a profound symbolic archetype emerges: one </w:t>
                </w:r>
                <w:r>
                  <w:rPr>
                    <w:rFonts w:asciiTheme="majorHAnsi" w:hAnsiTheme="majorHAnsi"/>
                  </w:rPr>
                  <w:t>experiences</w:t>
                </w:r>
                <w:r w:rsidRPr="00F54952">
                  <w:rPr>
                    <w:rFonts w:asciiTheme="majorHAnsi" w:hAnsiTheme="majorHAnsi"/>
                  </w:rPr>
                  <w:t xml:space="preserve"> it in works such as his String Quartet (1964), </w:t>
                </w:r>
                <w:proofErr w:type="spellStart"/>
                <w:r w:rsidRPr="00F54952">
                  <w:rPr>
                    <w:rFonts w:asciiTheme="majorHAnsi" w:hAnsiTheme="majorHAnsi"/>
                    <w:i/>
                  </w:rPr>
                  <w:t>Livre</w:t>
                </w:r>
                <w:proofErr w:type="spellEnd"/>
                <w:r w:rsidRPr="00F54952">
                  <w:rPr>
                    <w:rFonts w:asciiTheme="majorHAnsi" w:hAnsiTheme="majorHAnsi"/>
                    <w:i/>
                  </w:rPr>
                  <w:t xml:space="preserve"> pour </w:t>
                </w:r>
                <w:proofErr w:type="spellStart"/>
                <w:r w:rsidRPr="00F54952">
                  <w:rPr>
                    <w:rFonts w:asciiTheme="majorHAnsi" w:hAnsiTheme="majorHAnsi"/>
                    <w:i/>
                  </w:rPr>
                  <w:t>orchestre</w:t>
                </w:r>
                <w:proofErr w:type="spellEnd"/>
                <w:r w:rsidRPr="00F54952">
                  <w:rPr>
                    <w:rFonts w:asciiTheme="majorHAnsi" w:hAnsiTheme="majorHAnsi"/>
                  </w:rPr>
                  <w:t xml:space="preserve"> (1968), Cello Concerto (1969-70), </w:t>
                </w:r>
                <w:r w:rsidRPr="00F54952">
                  <w:rPr>
                    <w:rFonts w:asciiTheme="majorHAnsi" w:hAnsiTheme="majorHAnsi"/>
                    <w:i/>
                  </w:rPr>
                  <w:t xml:space="preserve">Preludes and Fugue </w:t>
                </w:r>
                <w:r w:rsidRPr="00F54952">
                  <w:rPr>
                    <w:rFonts w:asciiTheme="majorHAnsi" w:hAnsiTheme="majorHAnsi"/>
                  </w:rPr>
                  <w:t xml:space="preserve">(1970-72), </w:t>
                </w:r>
                <w:r w:rsidRPr="00F54952">
                  <w:rPr>
                    <w:rFonts w:asciiTheme="majorHAnsi" w:hAnsiTheme="majorHAnsi"/>
                    <w:i/>
                  </w:rPr>
                  <w:t xml:space="preserve">Les </w:t>
                </w:r>
                <w:proofErr w:type="spellStart"/>
                <w:r w:rsidRPr="00F54952">
                  <w:rPr>
                    <w:rFonts w:asciiTheme="majorHAnsi" w:hAnsiTheme="majorHAnsi"/>
                    <w:i/>
                  </w:rPr>
                  <w:t>espaces</w:t>
                </w:r>
                <w:proofErr w:type="spellEnd"/>
                <w:r w:rsidRPr="00F54952">
                  <w:rPr>
                    <w:rFonts w:asciiTheme="majorHAnsi" w:hAnsiTheme="majorHAnsi"/>
                    <w:i/>
                  </w:rPr>
                  <w:t xml:space="preserve"> du </w:t>
                </w:r>
                <w:proofErr w:type="spellStart"/>
                <w:r w:rsidRPr="00F54952">
                  <w:rPr>
                    <w:rFonts w:asciiTheme="majorHAnsi" w:hAnsiTheme="majorHAnsi"/>
                    <w:i/>
                  </w:rPr>
                  <w:t>sommeil</w:t>
                </w:r>
                <w:proofErr w:type="spellEnd"/>
                <w:r w:rsidRPr="00F54952">
                  <w:rPr>
                    <w:rFonts w:asciiTheme="majorHAnsi" w:hAnsiTheme="majorHAnsi"/>
                    <w:i/>
                  </w:rPr>
                  <w:t xml:space="preserve"> </w:t>
                </w:r>
                <w:r w:rsidRPr="00F54952">
                  <w:rPr>
                    <w:rFonts w:asciiTheme="majorHAnsi" w:hAnsiTheme="majorHAnsi"/>
                  </w:rPr>
                  <w:t xml:space="preserve">(1975), </w:t>
                </w:r>
                <w:proofErr w:type="spellStart"/>
                <w:r w:rsidRPr="00F54952">
                  <w:rPr>
                    <w:rFonts w:asciiTheme="majorHAnsi" w:hAnsiTheme="majorHAnsi"/>
                    <w:i/>
                  </w:rPr>
                  <w:t>Mi-Parti</w:t>
                </w:r>
                <w:proofErr w:type="spellEnd"/>
                <w:r w:rsidRPr="00F54952">
                  <w:rPr>
                    <w:rFonts w:asciiTheme="majorHAnsi" w:hAnsiTheme="majorHAnsi"/>
                    <w:i/>
                  </w:rPr>
                  <w:t xml:space="preserve"> </w:t>
                </w:r>
                <w:r w:rsidRPr="00F54952">
                  <w:rPr>
                    <w:rFonts w:asciiTheme="majorHAnsi" w:hAnsiTheme="majorHAnsi"/>
                  </w:rPr>
                  <w:t xml:space="preserve">(1975-6), and in later music where rhapsodic melody soars into prominence above more lucid textures of chromatic harmony, such as his </w:t>
                </w:r>
                <w:r w:rsidRPr="00F54952">
                  <w:rPr>
                    <w:rFonts w:asciiTheme="majorHAnsi" w:hAnsiTheme="majorHAnsi"/>
                    <w:i/>
                  </w:rPr>
                  <w:t>Partita</w:t>
                </w:r>
                <w:r w:rsidRPr="00F54952">
                  <w:rPr>
                    <w:rFonts w:asciiTheme="majorHAnsi" w:hAnsiTheme="majorHAnsi"/>
                  </w:rPr>
                  <w:t xml:space="preserve"> (1984), </w:t>
                </w:r>
                <w:r w:rsidRPr="00F54952">
                  <w:rPr>
                    <w:rFonts w:asciiTheme="majorHAnsi" w:hAnsiTheme="majorHAnsi"/>
                    <w:i/>
                  </w:rPr>
                  <w:t>Chain 2</w:t>
                </w:r>
                <w:r w:rsidRPr="00F54952">
                  <w:rPr>
                    <w:rFonts w:asciiTheme="majorHAnsi" w:hAnsiTheme="majorHAnsi"/>
                  </w:rPr>
                  <w:t xml:space="preserve"> (1984-5), </w:t>
                </w:r>
                <w:r w:rsidRPr="00F54952">
                  <w:rPr>
                    <w:rFonts w:asciiTheme="majorHAnsi" w:hAnsiTheme="majorHAnsi"/>
                    <w:i/>
                  </w:rPr>
                  <w:t>Chain 3</w:t>
                </w:r>
                <w:r w:rsidRPr="00F54952">
                  <w:rPr>
                    <w:rFonts w:asciiTheme="majorHAnsi" w:hAnsiTheme="majorHAnsi"/>
                  </w:rPr>
                  <w:t xml:space="preserve"> (1986), and Symphony No. 4 (1988-92). </w:t>
                </w:r>
                <w:r>
                  <w:rPr>
                    <w:rFonts w:asciiTheme="majorHAnsi" w:hAnsiTheme="majorHAnsi"/>
                  </w:rPr>
                  <w:t>Often, c</w:t>
                </w:r>
                <w:r w:rsidRPr="00F54952">
                  <w:rPr>
                    <w:rFonts w:asciiTheme="majorHAnsi" w:hAnsiTheme="majorHAnsi"/>
                  </w:rPr>
                  <w:t>onflict between materials</w:t>
                </w:r>
                <w:r>
                  <w:rPr>
                    <w:rFonts w:asciiTheme="majorHAnsi" w:hAnsiTheme="majorHAnsi"/>
                  </w:rPr>
                  <w:t xml:space="preserve"> – always </w:t>
                </w:r>
                <w:r w:rsidRPr="00F54952">
                  <w:rPr>
                    <w:rFonts w:asciiTheme="majorHAnsi" w:hAnsiTheme="majorHAnsi"/>
                  </w:rPr>
                  <w:t xml:space="preserve">open to being interpreted in a wide range of musical, cultural or political contexts </w:t>
                </w:r>
                <w:r>
                  <w:rPr>
                    <w:rFonts w:asciiTheme="majorHAnsi" w:hAnsiTheme="majorHAnsi"/>
                  </w:rPr>
                  <w:t xml:space="preserve">– </w:t>
                </w:r>
                <w:r w:rsidRPr="00F54952">
                  <w:rPr>
                    <w:rFonts w:asciiTheme="majorHAnsi" w:hAnsiTheme="majorHAnsi"/>
                  </w:rPr>
                  <w:t xml:space="preserve">leads to the brink of resolution but jackknifes into catastrophe; cathartic transcendence is glimpsed but </w:t>
                </w:r>
                <w:r>
                  <w:rPr>
                    <w:rFonts w:asciiTheme="majorHAnsi" w:hAnsiTheme="majorHAnsi"/>
                  </w:rPr>
                  <w:t xml:space="preserve">then </w:t>
                </w:r>
                <w:r w:rsidRPr="00F54952">
                  <w:rPr>
                    <w:rFonts w:asciiTheme="majorHAnsi" w:hAnsiTheme="majorHAnsi"/>
                  </w:rPr>
                  <w:t xml:space="preserve">evaporates or </w:t>
                </w:r>
                <w:r>
                  <w:rPr>
                    <w:rFonts w:asciiTheme="majorHAnsi" w:hAnsiTheme="majorHAnsi"/>
                  </w:rPr>
                  <w:t>gets</w:t>
                </w:r>
                <w:r w:rsidRPr="00F54952">
                  <w:rPr>
                    <w:rFonts w:asciiTheme="majorHAnsi" w:hAnsiTheme="majorHAnsi"/>
                  </w:rPr>
                  <w:t xml:space="preserve"> crushed. Like </w:t>
                </w:r>
                <w:r>
                  <w:rPr>
                    <w:rFonts w:asciiTheme="majorHAnsi" w:hAnsiTheme="majorHAnsi"/>
                  </w:rPr>
                  <w:t>the composer’s</w:t>
                </w:r>
                <w:r w:rsidRPr="00F54952">
                  <w:rPr>
                    <w:rFonts w:asciiTheme="majorHAnsi" w:hAnsiTheme="majorHAnsi"/>
                  </w:rPr>
                  <w:t xml:space="preserve"> </w:t>
                </w:r>
                <w:r>
                  <w:rPr>
                    <w:rFonts w:asciiTheme="majorHAnsi" w:hAnsiTheme="majorHAnsi"/>
                  </w:rPr>
                  <w:t xml:space="preserve">individual </w:t>
                </w:r>
                <w:r w:rsidRPr="00F54952">
                  <w:rPr>
                    <w:rFonts w:asciiTheme="majorHAnsi" w:hAnsiTheme="majorHAnsi"/>
                  </w:rPr>
                  <w:t xml:space="preserve">style, this </w:t>
                </w:r>
                <w:r>
                  <w:rPr>
                    <w:rFonts w:asciiTheme="majorHAnsi" w:hAnsiTheme="majorHAnsi"/>
                  </w:rPr>
                  <w:t xml:space="preserve">symbolically reverberant </w:t>
                </w:r>
                <w:r w:rsidRPr="00F54952">
                  <w:rPr>
                    <w:rFonts w:asciiTheme="majorHAnsi" w:hAnsiTheme="majorHAnsi"/>
                  </w:rPr>
                  <w:t xml:space="preserve">structure fuses old and new, as Polish Romantic pessimism merges with late-modern bleakness. </w:t>
                </w:r>
                <w:proofErr w:type="spellStart"/>
                <w:r w:rsidRPr="00F54952">
                  <w:rPr>
                    <w:rFonts w:asciiTheme="majorHAnsi" w:hAnsiTheme="majorHAnsi"/>
                  </w:rPr>
                  <w:t>Lutosławski</w:t>
                </w:r>
                <w:r>
                  <w:rPr>
                    <w:rFonts w:asciiTheme="majorHAnsi" w:hAnsiTheme="majorHAnsi"/>
                  </w:rPr>
                  <w:t>’s</w:t>
                </w:r>
                <w:proofErr w:type="spellEnd"/>
                <w:r w:rsidRPr="00F54952">
                  <w:rPr>
                    <w:rFonts w:asciiTheme="majorHAnsi" w:hAnsiTheme="majorHAnsi"/>
                  </w:rPr>
                  <w:t xml:space="preserve"> strongest pieces invite one in with their beauty, theatricality and intelligence of design, exalt and then assault one, before sending one away with a haunted</w:t>
                </w:r>
                <w:r>
                  <w:rPr>
                    <w:rFonts w:asciiTheme="majorHAnsi" w:hAnsiTheme="majorHAnsi"/>
                  </w:rPr>
                  <w:t xml:space="preserve">, </w:t>
                </w:r>
                <w:r w:rsidRPr="00F54952">
                  <w:rPr>
                    <w:rFonts w:asciiTheme="majorHAnsi" w:hAnsiTheme="majorHAnsi"/>
                  </w:rPr>
                  <w:t>remapped mind.</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A8F311E7E9D914F8C0B3D86C2FB9D5E"/>
              </w:placeholder>
            </w:sdtPr>
            <w:sdtContent>
              <w:p w:rsidR="00402DBE" w:rsidRDefault="00C71D16" w:rsidP="00C71D16">
                <w:sdt>
                  <w:sdtPr>
                    <w:id w:val="1064221490"/>
                    <w:citation/>
                  </w:sdtPr>
                  <w:sdtContent>
                    <w:r>
                      <w:fldChar w:fldCharType="begin"/>
                    </w:r>
                    <w:r>
                      <w:rPr>
                        <w:lang w:val="en-US"/>
                      </w:rPr>
                      <w:instrText xml:space="preserve"> CITATION Będ01 \l 1033 </w:instrText>
                    </w:r>
                    <w:r>
                      <w:fldChar w:fldCharType="separate"/>
                    </w:r>
                    <w:r>
                      <w:rPr>
                        <w:noProof/>
                        <w:lang w:val="en-US"/>
                      </w:rPr>
                      <w:t xml:space="preserve"> </w:t>
                    </w:r>
                    <w:r w:rsidRPr="00C71D16">
                      <w:rPr>
                        <w:noProof/>
                        <w:lang w:val="en-US"/>
                      </w:rPr>
                      <w:t>(Będkowski and Hrabia)</w:t>
                    </w:r>
                    <w:r>
                      <w:fldChar w:fldCharType="end"/>
                    </w:r>
                  </w:sdtContent>
                </w:sdt>
              </w:p>
              <w:p w:rsidR="00C71D16" w:rsidRDefault="00C71D16" w:rsidP="00C71D16">
                <w:pPr>
                  <w:rPr>
                    <w:rFonts w:asciiTheme="majorHAnsi" w:hAnsiTheme="majorHAnsi"/>
                  </w:rPr>
                </w:pPr>
                <w:sdt>
                  <w:sdtPr>
                    <w:rPr>
                      <w:rFonts w:asciiTheme="majorHAnsi" w:hAnsiTheme="majorHAnsi"/>
                    </w:rPr>
                    <w:id w:val="-1074279671"/>
                    <w:citation/>
                  </w:sdtPr>
                  <w:sdtContent>
                    <w:r>
                      <w:rPr>
                        <w:rFonts w:asciiTheme="majorHAnsi" w:hAnsiTheme="majorHAnsi"/>
                      </w:rPr>
                      <w:fldChar w:fldCharType="begin"/>
                    </w:r>
                    <w:r>
                      <w:rPr>
                        <w:lang w:val="en-US"/>
                      </w:rPr>
                      <w:instrText xml:space="preserve"> CITATION Gwi04 \l 1033 </w:instrText>
                    </w:r>
                    <w:r>
                      <w:rPr>
                        <w:rFonts w:asciiTheme="majorHAnsi" w:hAnsiTheme="majorHAnsi"/>
                      </w:rPr>
                      <w:fldChar w:fldCharType="separate"/>
                    </w:r>
                    <w:r w:rsidRPr="00C71D16">
                      <w:rPr>
                        <w:noProof/>
                        <w:lang w:val="en-US"/>
                      </w:rPr>
                      <w:t>(Gwizdalanka and Meyer)</w:t>
                    </w:r>
                    <w:r>
                      <w:rPr>
                        <w:rFonts w:asciiTheme="majorHAnsi" w:hAnsiTheme="majorHAnsi"/>
                      </w:rPr>
                      <w:fldChar w:fldCharType="end"/>
                    </w:r>
                  </w:sdtContent>
                </w:sdt>
              </w:p>
              <w:p w:rsidR="00C71D16" w:rsidRDefault="00C71D16" w:rsidP="00C71D16">
                <w:pPr>
                  <w:rPr>
                    <w:rFonts w:asciiTheme="majorHAnsi" w:hAnsiTheme="majorHAnsi"/>
                  </w:rPr>
                </w:pPr>
                <w:sdt>
                  <w:sdtPr>
                    <w:rPr>
                      <w:rFonts w:asciiTheme="majorHAnsi" w:hAnsiTheme="majorHAnsi"/>
                    </w:rPr>
                    <w:id w:val="768356982"/>
                    <w:citation/>
                  </w:sdtPr>
                  <w:sdtContent>
                    <w:r>
                      <w:rPr>
                        <w:rFonts w:asciiTheme="majorHAnsi" w:hAnsiTheme="majorHAnsi"/>
                      </w:rPr>
                      <w:fldChar w:fldCharType="begin"/>
                    </w:r>
                    <w:r>
                      <w:rPr>
                        <w:lang w:val="en-US"/>
                      </w:rPr>
                      <w:instrText xml:space="preserve"> CITATION Kac84 \l 1033 </w:instrText>
                    </w:r>
                    <w:r>
                      <w:rPr>
                        <w:rFonts w:asciiTheme="majorHAnsi" w:hAnsiTheme="majorHAnsi"/>
                      </w:rPr>
                      <w:fldChar w:fldCharType="separate"/>
                    </w:r>
                    <w:r w:rsidRPr="00C71D16">
                      <w:rPr>
                        <w:noProof/>
                        <w:lang w:val="en-US"/>
                      </w:rPr>
                      <w:t>(Kaczyński and Lutosławski)</w:t>
                    </w:r>
                    <w:r>
                      <w:rPr>
                        <w:rFonts w:asciiTheme="majorHAnsi" w:hAnsiTheme="majorHAnsi"/>
                      </w:rPr>
                      <w:fldChar w:fldCharType="end"/>
                    </w:r>
                  </w:sdtContent>
                </w:sdt>
              </w:p>
              <w:p w:rsidR="00C71D16" w:rsidRDefault="00C71D16" w:rsidP="00C71D16">
                <w:pPr>
                  <w:rPr>
                    <w:rFonts w:asciiTheme="majorHAnsi" w:hAnsiTheme="majorHAnsi"/>
                  </w:rPr>
                </w:pPr>
                <w:sdt>
                  <w:sdtPr>
                    <w:rPr>
                      <w:rFonts w:asciiTheme="majorHAnsi" w:hAnsiTheme="majorHAnsi"/>
                    </w:rPr>
                    <w:id w:val="415672265"/>
                    <w:citation/>
                  </w:sdtPr>
                  <w:sdtContent>
                    <w:r>
                      <w:rPr>
                        <w:rFonts w:asciiTheme="majorHAnsi" w:hAnsiTheme="majorHAnsi"/>
                      </w:rPr>
                      <w:fldChar w:fldCharType="begin"/>
                    </w:r>
                    <w:r>
                      <w:rPr>
                        <w:lang w:val="en-US"/>
                      </w:rPr>
                      <w:instrText xml:space="preserve"> CITATION Rae94 \l 1033 </w:instrText>
                    </w:r>
                    <w:r>
                      <w:rPr>
                        <w:rFonts w:asciiTheme="majorHAnsi" w:hAnsiTheme="majorHAnsi"/>
                      </w:rPr>
                      <w:fldChar w:fldCharType="separate"/>
                    </w:r>
                    <w:r w:rsidRPr="00C71D16">
                      <w:rPr>
                        <w:noProof/>
                        <w:lang w:val="en-US"/>
                      </w:rPr>
                      <w:t>(Rae)</w:t>
                    </w:r>
                    <w:r>
                      <w:rPr>
                        <w:rFonts w:asciiTheme="majorHAnsi" w:hAnsiTheme="majorHAnsi"/>
                      </w:rPr>
                      <w:fldChar w:fldCharType="end"/>
                    </w:r>
                  </w:sdtContent>
                </w:sdt>
              </w:p>
              <w:p w:rsidR="00C71D16" w:rsidRDefault="00C71D16" w:rsidP="00C71D16">
                <w:pPr>
                  <w:rPr>
                    <w:rFonts w:asciiTheme="majorHAnsi" w:hAnsiTheme="majorHAnsi"/>
                  </w:rPr>
                </w:pPr>
                <w:sdt>
                  <w:sdtPr>
                    <w:rPr>
                      <w:rFonts w:asciiTheme="majorHAnsi" w:hAnsiTheme="majorHAnsi"/>
                    </w:rPr>
                    <w:id w:val="710922633"/>
                    <w:citation/>
                  </w:sdtPr>
                  <w:sdtContent>
                    <w:r>
                      <w:rPr>
                        <w:rFonts w:asciiTheme="majorHAnsi" w:hAnsiTheme="majorHAnsi"/>
                      </w:rPr>
                      <w:fldChar w:fldCharType="begin"/>
                    </w:r>
                    <w:r>
                      <w:rPr>
                        <w:lang w:val="en-US"/>
                      </w:rPr>
                      <w:instrText xml:space="preserve"> CITATION Rey07 \l 1033 </w:instrText>
                    </w:r>
                    <w:r>
                      <w:rPr>
                        <w:rFonts w:asciiTheme="majorHAnsi" w:hAnsiTheme="majorHAnsi"/>
                      </w:rPr>
                      <w:fldChar w:fldCharType="separate"/>
                    </w:r>
                    <w:r w:rsidRPr="00C71D16">
                      <w:rPr>
                        <w:noProof/>
                        <w:lang w:val="en-US"/>
                      </w:rPr>
                      <w:t>(Reyland)</w:t>
                    </w:r>
                    <w:r>
                      <w:rPr>
                        <w:rFonts w:asciiTheme="majorHAnsi" w:hAnsiTheme="majorHAnsi"/>
                      </w:rPr>
                      <w:fldChar w:fldCharType="end"/>
                    </w:r>
                  </w:sdtContent>
                </w:sdt>
              </w:p>
              <w:p w:rsidR="00C71D16" w:rsidRDefault="00C71D16" w:rsidP="00C71D16">
                <w:pPr>
                  <w:rPr>
                    <w:rFonts w:asciiTheme="majorHAnsi" w:hAnsiTheme="majorHAnsi"/>
                  </w:rPr>
                </w:pPr>
                <w:sdt>
                  <w:sdtPr>
                    <w:rPr>
                      <w:rFonts w:asciiTheme="majorHAnsi" w:hAnsiTheme="majorHAnsi"/>
                    </w:rPr>
                    <w:id w:val="1675380275"/>
                    <w:citation/>
                  </w:sdtPr>
                  <w:sdtContent>
                    <w:r>
                      <w:rPr>
                        <w:rFonts w:asciiTheme="majorHAnsi" w:hAnsiTheme="majorHAnsi"/>
                      </w:rPr>
                      <w:fldChar w:fldCharType="begin"/>
                    </w:r>
                    <w:r>
                      <w:rPr>
                        <w:lang w:val="en-US"/>
                      </w:rPr>
                      <w:instrText xml:space="preserve"> CITATION Sko07 \l 1033 </w:instrText>
                    </w:r>
                    <w:r>
                      <w:rPr>
                        <w:rFonts w:asciiTheme="majorHAnsi" w:hAnsiTheme="majorHAnsi"/>
                      </w:rPr>
                      <w:fldChar w:fldCharType="separate"/>
                    </w:r>
                    <w:r w:rsidRPr="00C71D16">
                      <w:rPr>
                        <w:noProof/>
                        <w:lang w:val="en-US"/>
                      </w:rPr>
                      <w:t>(Skowron, Lutoslawski on Music)</w:t>
                    </w:r>
                    <w:r>
                      <w:rPr>
                        <w:rFonts w:asciiTheme="majorHAnsi" w:hAnsiTheme="majorHAnsi"/>
                      </w:rPr>
                      <w:fldChar w:fldCharType="end"/>
                    </w:r>
                  </w:sdtContent>
                </w:sdt>
              </w:p>
              <w:p w:rsidR="00C71D16" w:rsidRDefault="00C71D16" w:rsidP="00C71D16">
                <w:pPr>
                  <w:rPr>
                    <w:rFonts w:asciiTheme="majorHAnsi" w:hAnsiTheme="majorHAnsi"/>
                  </w:rPr>
                </w:pPr>
                <w:sdt>
                  <w:sdtPr>
                    <w:rPr>
                      <w:rFonts w:asciiTheme="majorHAnsi" w:hAnsiTheme="majorHAnsi"/>
                    </w:rPr>
                    <w:id w:val="-884329270"/>
                    <w:citation/>
                  </w:sdtPr>
                  <w:sdtContent>
                    <w:r>
                      <w:rPr>
                        <w:rFonts w:asciiTheme="majorHAnsi" w:hAnsiTheme="majorHAnsi"/>
                      </w:rPr>
                      <w:fldChar w:fldCharType="begin"/>
                    </w:r>
                    <w:r>
                      <w:rPr>
                        <w:lang w:val="en-US"/>
                      </w:rPr>
                      <w:instrText xml:space="preserve"> CITATION Sko01 \l 1033 </w:instrText>
                    </w:r>
                    <w:r>
                      <w:rPr>
                        <w:rFonts w:asciiTheme="majorHAnsi" w:hAnsiTheme="majorHAnsi"/>
                      </w:rPr>
                      <w:fldChar w:fldCharType="separate"/>
                    </w:r>
                    <w:r w:rsidRPr="00C71D16">
                      <w:rPr>
                        <w:noProof/>
                        <w:lang w:val="en-US"/>
                      </w:rPr>
                      <w:t>(Skowron, Lutosławski Studies)</w:t>
                    </w:r>
                    <w:r>
                      <w:rPr>
                        <w:rFonts w:asciiTheme="majorHAnsi" w:hAnsiTheme="majorHAnsi"/>
                      </w:rPr>
                      <w:fldChar w:fldCharType="end"/>
                    </w:r>
                  </w:sdtContent>
                </w:sdt>
              </w:p>
              <w:p w:rsidR="00C71D16" w:rsidRDefault="00C71D16" w:rsidP="00C71D16">
                <w:pPr>
                  <w:rPr>
                    <w:rFonts w:asciiTheme="majorHAnsi" w:hAnsiTheme="majorHAnsi"/>
                  </w:rPr>
                </w:pPr>
                <w:sdt>
                  <w:sdtPr>
                    <w:rPr>
                      <w:rFonts w:asciiTheme="majorHAnsi" w:hAnsiTheme="majorHAnsi"/>
                    </w:rPr>
                    <w:id w:val="26142856"/>
                    <w:citation/>
                  </w:sdtPr>
                  <w:sdtContent>
                    <w:r>
                      <w:rPr>
                        <w:rFonts w:asciiTheme="majorHAnsi" w:hAnsiTheme="majorHAnsi"/>
                      </w:rPr>
                      <w:fldChar w:fldCharType="begin"/>
                    </w:r>
                    <w:r>
                      <w:rPr>
                        <w:lang w:val="en-US"/>
                      </w:rPr>
                      <w:instrText xml:space="preserve"> CITATION Tho05 \l 1033 </w:instrText>
                    </w:r>
                    <w:r>
                      <w:rPr>
                        <w:rFonts w:asciiTheme="majorHAnsi" w:hAnsiTheme="majorHAnsi"/>
                      </w:rPr>
                      <w:fldChar w:fldCharType="separate"/>
                    </w:r>
                    <w:r w:rsidRPr="00C71D16">
                      <w:rPr>
                        <w:noProof/>
                        <w:lang w:val="en-US"/>
                      </w:rPr>
                      <w:t>(Thomas)</w:t>
                    </w:r>
                    <w:r>
                      <w:rPr>
                        <w:rFonts w:asciiTheme="majorHAnsi" w:hAnsiTheme="majorHAnsi"/>
                      </w:rPr>
                      <w:fldChar w:fldCharType="end"/>
                    </w:r>
                  </w:sdtContent>
                </w:sdt>
              </w:p>
              <w:p w:rsidR="00C71D16" w:rsidRDefault="00C71D16" w:rsidP="00C71D16">
                <w:pPr>
                  <w:rPr>
                    <w:rFonts w:asciiTheme="majorHAnsi" w:hAnsiTheme="majorHAnsi"/>
                  </w:rPr>
                </w:pPr>
                <w:sdt>
                  <w:sdtPr>
                    <w:rPr>
                      <w:rFonts w:asciiTheme="majorHAnsi" w:hAnsiTheme="majorHAnsi"/>
                    </w:rPr>
                    <w:id w:val="-402680225"/>
                    <w:citation/>
                  </w:sdtPr>
                  <w:sdtContent>
                    <w:r>
                      <w:rPr>
                        <w:rFonts w:asciiTheme="majorHAnsi" w:hAnsiTheme="majorHAnsi"/>
                      </w:rPr>
                      <w:fldChar w:fldCharType="begin"/>
                    </w:r>
                    <w:r>
                      <w:rPr>
                        <w:lang w:val="en-US"/>
                      </w:rPr>
                      <w:instrText xml:space="preserve"> CITATION Var76 \l 1033 </w:instrText>
                    </w:r>
                    <w:r>
                      <w:rPr>
                        <w:rFonts w:asciiTheme="majorHAnsi" w:hAnsiTheme="majorHAnsi"/>
                      </w:rPr>
                      <w:fldChar w:fldCharType="separate"/>
                    </w:r>
                    <w:r w:rsidRPr="00C71D16">
                      <w:rPr>
                        <w:noProof/>
                        <w:lang w:val="en-US"/>
                      </w:rPr>
                      <w:t>(Varga)</w:t>
                    </w:r>
                    <w:r>
                      <w:rPr>
                        <w:rFonts w:asciiTheme="majorHAnsi" w:hAnsiTheme="majorHAnsi"/>
                      </w:rPr>
                      <w:fldChar w:fldCharType="end"/>
                    </w:r>
                  </w:sdtContent>
                </w:sdt>
              </w:p>
              <w:p w:rsidR="00402DBE" w:rsidRPr="00182A4B" w:rsidRDefault="00C71D16" w:rsidP="00402DBE">
                <w:pPr>
                  <w:rPr>
                    <w:rFonts w:asciiTheme="majorHAnsi" w:hAnsiTheme="majorHAnsi"/>
                  </w:rPr>
                </w:pPr>
                <w:sdt>
                  <w:sdtPr>
                    <w:rPr>
                      <w:rFonts w:asciiTheme="majorHAnsi" w:hAnsiTheme="majorHAnsi"/>
                    </w:rPr>
                    <w:id w:val="177858097"/>
                    <w:citation/>
                  </w:sdtPr>
                  <w:sdtContent>
                    <w:r>
                      <w:rPr>
                        <w:rFonts w:asciiTheme="majorHAnsi" w:hAnsiTheme="majorHAnsi"/>
                      </w:rPr>
                      <w:fldChar w:fldCharType="begin"/>
                    </w:r>
                    <w:r>
                      <w:rPr>
                        <w:lang w:val="en-US"/>
                      </w:rPr>
                      <w:instrText xml:space="preserve"> CITATION Whi01 \l 1033 </w:instrText>
                    </w:r>
                    <w:r>
                      <w:rPr>
                        <w:rFonts w:asciiTheme="majorHAnsi" w:hAnsiTheme="majorHAnsi"/>
                      </w:rPr>
                      <w:fldChar w:fldCharType="separate"/>
                    </w:r>
                    <w:r w:rsidRPr="00C71D16">
                      <w:rPr>
                        <w:noProof/>
                        <w:lang w:val="en-US"/>
                      </w:rPr>
                      <w:t>(Whittall)</w:t>
                    </w:r>
                    <w:r>
                      <w:rPr>
                        <w:rFonts w:asciiTheme="majorHAnsi" w:hAnsiTheme="majorHAnsi"/>
                      </w:rPr>
                      <w:fldChar w:fldCharType="end"/>
                    </w:r>
                  </w:sdtContent>
                </w:sdt>
              </w:p>
              <w:p w:rsidR="003235A7" w:rsidRDefault="00293304"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E88" w:rsidRDefault="00851E88" w:rsidP="007A0D55">
      <w:pPr>
        <w:spacing w:after="0" w:line="240" w:lineRule="auto"/>
      </w:pPr>
      <w:r>
        <w:separator/>
      </w:r>
    </w:p>
  </w:endnote>
  <w:endnote w:type="continuationSeparator" w:id="0">
    <w:p w:rsidR="00851E88" w:rsidRDefault="00851E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E88" w:rsidRDefault="00851E88" w:rsidP="007A0D55">
      <w:pPr>
        <w:spacing w:after="0" w:line="240" w:lineRule="auto"/>
      </w:pPr>
      <w:r>
        <w:separator/>
      </w:r>
    </w:p>
  </w:footnote>
  <w:footnote w:type="continuationSeparator" w:id="0">
    <w:p w:rsidR="00851E88" w:rsidRDefault="00851E8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E88" w:rsidRDefault="00851E8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51E88" w:rsidRDefault="00851E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3A44B43C"/>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7347FC2"/>
    <w:multiLevelType w:val="hybridMultilevel"/>
    <w:tmpl w:val="282683C0"/>
    <w:lvl w:ilvl="0" w:tplc="2CAE81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8A7202"/>
    <w:multiLevelType w:val="hybridMultilevel"/>
    <w:tmpl w:val="8ACC4BCE"/>
    <w:lvl w:ilvl="0" w:tplc="2A66F6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B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3304"/>
    <w:rsid w:val="002A0A0D"/>
    <w:rsid w:val="002B0B37"/>
    <w:rsid w:val="0030662D"/>
    <w:rsid w:val="003235A7"/>
    <w:rsid w:val="003677B6"/>
    <w:rsid w:val="003D3579"/>
    <w:rsid w:val="003E2795"/>
    <w:rsid w:val="003F0D73"/>
    <w:rsid w:val="00402DB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1E8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1D16"/>
    <w:rsid w:val="00CC586D"/>
    <w:rsid w:val="00CF1542"/>
    <w:rsid w:val="00CF3EC5"/>
    <w:rsid w:val="00D656DA"/>
    <w:rsid w:val="00D83300"/>
    <w:rsid w:val="00DC6B48"/>
    <w:rsid w:val="00DF01B0"/>
    <w:rsid w:val="00E03B3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2D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DBE"/>
    <w:rPr>
      <w:rFonts w:ascii="Lucida Grande" w:hAnsi="Lucida Grande" w:cs="Lucida Grande"/>
      <w:sz w:val="18"/>
      <w:szCs w:val="18"/>
    </w:rPr>
  </w:style>
  <w:style w:type="paragraph" w:styleId="ListBullet">
    <w:name w:val="List Bullet"/>
    <w:basedOn w:val="Normal"/>
    <w:uiPriority w:val="99"/>
    <w:unhideWhenUsed/>
    <w:rsid w:val="00402DBE"/>
    <w:pPr>
      <w:tabs>
        <w:tab w:val="num" w:pos="360"/>
      </w:tabs>
      <w:spacing w:after="0" w:line="240" w:lineRule="auto"/>
      <w:ind w:left="360" w:hanging="360"/>
      <w:contextualSpacing/>
    </w:pPr>
    <w:rPr>
      <w:rFonts w:eastAsiaTheme="minorEastAsia"/>
      <w:sz w:val="24"/>
      <w:szCs w:val="24"/>
      <w:lang w:val="en-US"/>
    </w:rPr>
  </w:style>
  <w:style w:type="paragraph" w:styleId="ListParagraph">
    <w:name w:val="List Paragraph"/>
    <w:basedOn w:val="Normal"/>
    <w:uiPriority w:val="34"/>
    <w:qFormat/>
    <w:rsid w:val="00402DBE"/>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semiHidden/>
    <w:rsid w:val="00402DBE"/>
    <w:pPr>
      <w:spacing w:after="0" w:line="240" w:lineRule="auto"/>
    </w:pPr>
    <w:rPr>
      <w:rFonts w:ascii="Garamond" w:eastAsia="Times New Roman" w:hAnsi="Garamond" w:cs="Times New Roman"/>
      <w:sz w:val="20"/>
      <w:szCs w:val="20"/>
    </w:rPr>
  </w:style>
  <w:style w:type="character" w:customStyle="1" w:styleId="FootnoteTextChar">
    <w:name w:val="Footnote Text Char"/>
    <w:basedOn w:val="DefaultParagraphFont"/>
    <w:link w:val="FootnoteText"/>
    <w:semiHidden/>
    <w:rsid w:val="00402DBE"/>
    <w:rPr>
      <w:rFonts w:ascii="Garamond" w:eastAsia="Times New Roman" w:hAnsi="Garamond"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2D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DBE"/>
    <w:rPr>
      <w:rFonts w:ascii="Lucida Grande" w:hAnsi="Lucida Grande" w:cs="Lucida Grande"/>
      <w:sz w:val="18"/>
      <w:szCs w:val="18"/>
    </w:rPr>
  </w:style>
  <w:style w:type="paragraph" w:styleId="ListBullet">
    <w:name w:val="List Bullet"/>
    <w:basedOn w:val="Normal"/>
    <w:uiPriority w:val="99"/>
    <w:unhideWhenUsed/>
    <w:rsid w:val="00402DBE"/>
    <w:pPr>
      <w:tabs>
        <w:tab w:val="num" w:pos="360"/>
      </w:tabs>
      <w:spacing w:after="0" w:line="240" w:lineRule="auto"/>
      <w:ind w:left="360" w:hanging="360"/>
      <w:contextualSpacing/>
    </w:pPr>
    <w:rPr>
      <w:rFonts w:eastAsiaTheme="minorEastAsia"/>
      <w:sz w:val="24"/>
      <w:szCs w:val="24"/>
      <w:lang w:val="en-US"/>
    </w:rPr>
  </w:style>
  <w:style w:type="paragraph" w:styleId="ListParagraph">
    <w:name w:val="List Paragraph"/>
    <w:basedOn w:val="Normal"/>
    <w:uiPriority w:val="34"/>
    <w:qFormat/>
    <w:rsid w:val="00402DBE"/>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semiHidden/>
    <w:rsid w:val="00402DBE"/>
    <w:pPr>
      <w:spacing w:after="0" w:line="240" w:lineRule="auto"/>
    </w:pPr>
    <w:rPr>
      <w:rFonts w:ascii="Garamond" w:eastAsia="Times New Roman" w:hAnsi="Garamond" w:cs="Times New Roman"/>
      <w:sz w:val="20"/>
      <w:szCs w:val="20"/>
    </w:rPr>
  </w:style>
  <w:style w:type="character" w:customStyle="1" w:styleId="FootnoteTextChar">
    <w:name w:val="Footnote Text Char"/>
    <w:basedOn w:val="DefaultParagraphFont"/>
    <w:link w:val="FootnoteText"/>
    <w:semiHidden/>
    <w:rsid w:val="00402DBE"/>
    <w:rPr>
      <w:rFonts w:ascii="Garamond" w:eastAsia="Times New Roman" w:hAnsi="Garamond"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E52E91DCA1034C88D1C6F5C3383FFD"/>
        <w:category>
          <w:name w:val="General"/>
          <w:gallery w:val="placeholder"/>
        </w:category>
        <w:types>
          <w:type w:val="bbPlcHdr"/>
        </w:types>
        <w:behaviors>
          <w:behavior w:val="content"/>
        </w:behaviors>
        <w:guid w:val="{0538613B-3F15-A445-8913-263EBDD9AF32}"/>
      </w:docPartPr>
      <w:docPartBody>
        <w:p w:rsidR="00286B8D" w:rsidRDefault="00286B8D">
          <w:pPr>
            <w:pStyle w:val="ECE52E91DCA1034C88D1C6F5C3383FFD"/>
          </w:pPr>
          <w:r w:rsidRPr="00CC586D">
            <w:rPr>
              <w:rStyle w:val="PlaceholderText"/>
              <w:b/>
              <w:color w:val="FFFFFF" w:themeColor="background1"/>
            </w:rPr>
            <w:t>[Salutation]</w:t>
          </w:r>
        </w:p>
      </w:docPartBody>
    </w:docPart>
    <w:docPart>
      <w:docPartPr>
        <w:name w:val="64EB731DFF4FC4459CA425DF07705168"/>
        <w:category>
          <w:name w:val="General"/>
          <w:gallery w:val="placeholder"/>
        </w:category>
        <w:types>
          <w:type w:val="bbPlcHdr"/>
        </w:types>
        <w:behaviors>
          <w:behavior w:val="content"/>
        </w:behaviors>
        <w:guid w:val="{E2BF1748-5FD5-4D4A-A221-88FC7E9CA580}"/>
      </w:docPartPr>
      <w:docPartBody>
        <w:p w:rsidR="00286B8D" w:rsidRDefault="00286B8D">
          <w:pPr>
            <w:pStyle w:val="64EB731DFF4FC4459CA425DF07705168"/>
          </w:pPr>
          <w:r>
            <w:rPr>
              <w:rStyle w:val="PlaceholderText"/>
            </w:rPr>
            <w:t>[First name]</w:t>
          </w:r>
        </w:p>
      </w:docPartBody>
    </w:docPart>
    <w:docPart>
      <w:docPartPr>
        <w:name w:val="F01AE836CE9D0E45B478C8FA0450C1EE"/>
        <w:category>
          <w:name w:val="General"/>
          <w:gallery w:val="placeholder"/>
        </w:category>
        <w:types>
          <w:type w:val="bbPlcHdr"/>
        </w:types>
        <w:behaviors>
          <w:behavior w:val="content"/>
        </w:behaviors>
        <w:guid w:val="{5BE1180A-2547-724F-8378-5A0622C0ED3D}"/>
      </w:docPartPr>
      <w:docPartBody>
        <w:p w:rsidR="00286B8D" w:rsidRDefault="00286B8D">
          <w:pPr>
            <w:pStyle w:val="F01AE836CE9D0E45B478C8FA0450C1EE"/>
          </w:pPr>
          <w:r>
            <w:rPr>
              <w:rStyle w:val="PlaceholderText"/>
            </w:rPr>
            <w:t>[Middle name]</w:t>
          </w:r>
        </w:p>
      </w:docPartBody>
    </w:docPart>
    <w:docPart>
      <w:docPartPr>
        <w:name w:val="79C5AE4169C5D445B8392CD6114E2871"/>
        <w:category>
          <w:name w:val="General"/>
          <w:gallery w:val="placeholder"/>
        </w:category>
        <w:types>
          <w:type w:val="bbPlcHdr"/>
        </w:types>
        <w:behaviors>
          <w:behavior w:val="content"/>
        </w:behaviors>
        <w:guid w:val="{822DB06A-ADDA-3643-9FA7-455F3D0C6EB5}"/>
      </w:docPartPr>
      <w:docPartBody>
        <w:p w:rsidR="00286B8D" w:rsidRDefault="00286B8D">
          <w:pPr>
            <w:pStyle w:val="79C5AE4169C5D445B8392CD6114E2871"/>
          </w:pPr>
          <w:r>
            <w:rPr>
              <w:rStyle w:val="PlaceholderText"/>
            </w:rPr>
            <w:t>[Last name]</w:t>
          </w:r>
        </w:p>
      </w:docPartBody>
    </w:docPart>
    <w:docPart>
      <w:docPartPr>
        <w:name w:val="40ADE58604CC40409A0872BF97E5248B"/>
        <w:category>
          <w:name w:val="General"/>
          <w:gallery w:val="placeholder"/>
        </w:category>
        <w:types>
          <w:type w:val="bbPlcHdr"/>
        </w:types>
        <w:behaviors>
          <w:behavior w:val="content"/>
        </w:behaviors>
        <w:guid w:val="{99EE948F-ECC3-9F4B-9C44-7E907B85ACEB}"/>
      </w:docPartPr>
      <w:docPartBody>
        <w:p w:rsidR="00286B8D" w:rsidRDefault="00286B8D">
          <w:pPr>
            <w:pStyle w:val="40ADE58604CC40409A0872BF97E5248B"/>
          </w:pPr>
          <w:r>
            <w:rPr>
              <w:rStyle w:val="PlaceholderText"/>
            </w:rPr>
            <w:t>[Enter your biography]</w:t>
          </w:r>
        </w:p>
      </w:docPartBody>
    </w:docPart>
    <w:docPart>
      <w:docPartPr>
        <w:name w:val="BF3423C387AAF348BDDB01A2F6067D31"/>
        <w:category>
          <w:name w:val="General"/>
          <w:gallery w:val="placeholder"/>
        </w:category>
        <w:types>
          <w:type w:val="bbPlcHdr"/>
        </w:types>
        <w:behaviors>
          <w:behavior w:val="content"/>
        </w:behaviors>
        <w:guid w:val="{360D1DAF-2202-8640-85FF-71B1F7B904AC}"/>
      </w:docPartPr>
      <w:docPartBody>
        <w:p w:rsidR="00286B8D" w:rsidRDefault="00286B8D">
          <w:pPr>
            <w:pStyle w:val="BF3423C387AAF348BDDB01A2F6067D31"/>
          </w:pPr>
          <w:r>
            <w:rPr>
              <w:rStyle w:val="PlaceholderText"/>
            </w:rPr>
            <w:t>[Enter the institution with which you are affiliated]</w:t>
          </w:r>
        </w:p>
      </w:docPartBody>
    </w:docPart>
    <w:docPart>
      <w:docPartPr>
        <w:name w:val="224DE616C52C9B499A2FB09E7413F69E"/>
        <w:category>
          <w:name w:val="General"/>
          <w:gallery w:val="placeholder"/>
        </w:category>
        <w:types>
          <w:type w:val="bbPlcHdr"/>
        </w:types>
        <w:behaviors>
          <w:behavior w:val="content"/>
        </w:behaviors>
        <w:guid w:val="{B6C00F5C-F3A9-CE46-B338-AB8A28113D08}"/>
      </w:docPartPr>
      <w:docPartBody>
        <w:p w:rsidR="00286B8D" w:rsidRDefault="00286B8D">
          <w:pPr>
            <w:pStyle w:val="224DE616C52C9B499A2FB09E7413F69E"/>
          </w:pPr>
          <w:r w:rsidRPr="00EF74F7">
            <w:rPr>
              <w:b/>
              <w:color w:val="808080" w:themeColor="background1" w:themeShade="80"/>
            </w:rPr>
            <w:t>[Enter the headword for your article]</w:t>
          </w:r>
        </w:p>
      </w:docPartBody>
    </w:docPart>
    <w:docPart>
      <w:docPartPr>
        <w:name w:val="285A5F7DFCC79E418A76E54121D616AA"/>
        <w:category>
          <w:name w:val="General"/>
          <w:gallery w:val="placeholder"/>
        </w:category>
        <w:types>
          <w:type w:val="bbPlcHdr"/>
        </w:types>
        <w:behaviors>
          <w:behavior w:val="content"/>
        </w:behaviors>
        <w:guid w:val="{29E9093C-3C74-C64D-9CDE-428C94B61E42}"/>
      </w:docPartPr>
      <w:docPartBody>
        <w:p w:rsidR="00286B8D" w:rsidRDefault="00286B8D">
          <w:pPr>
            <w:pStyle w:val="285A5F7DFCC79E418A76E54121D616A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658CBAD083844FA57631B051DF58AE"/>
        <w:category>
          <w:name w:val="General"/>
          <w:gallery w:val="placeholder"/>
        </w:category>
        <w:types>
          <w:type w:val="bbPlcHdr"/>
        </w:types>
        <w:behaviors>
          <w:behavior w:val="content"/>
        </w:behaviors>
        <w:guid w:val="{361FB8FE-B392-2947-AB08-FD63B4FA2CEA}"/>
      </w:docPartPr>
      <w:docPartBody>
        <w:p w:rsidR="00286B8D" w:rsidRDefault="00286B8D">
          <w:pPr>
            <w:pStyle w:val="6A658CBAD083844FA57631B051DF58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C23AC03F0E744CBB1C9094A1A3A881"/>
        <w:category>
          <w:name w:val="General"/>
          <w:gallery w:val="placeholder"/>
        </w:category>
        <w:types>
          <w:type w:val="bbPlcHdr"/>
        </w:types>
        <w:behaviors>
          <w:behavior w:val="content"/>
        </w:behaviors>
        <w:guid w:val="{7DA87CA5-990B-124A-85AA-1E486292C3D1}"/>
      </w:docPartPr>
      <w:docPartBody>
        <w:p w:rsidR="00286B8D" w:rsidRDefault="00286B8D">
          <w:pPr>
            <w:pStyle w:val="40C23AC03F0E744CBB1C9094A1A3A8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8F311E7E9D914F8C0B3D86C2FB9D5E"/>
        <w:category>
          <w:name w:val="General"/>
          <w:gallery w:val="placeholder"/>
        </w:category>
        <w:types>
          <w:type w:val="bbPlcHdr"/>
        </w:types>
        <w:behaviors>
          <w:behavior w:val="content"/>
        </w:behaviors>
        <w:guid w:val="{41709E7A-4CC9-BB47-BB49-0AD670FD32FB}"/>
      </w:docPartPr>
      <w:docPartBody>
        <w:p w:rsidR="00286B8D" w:rsidRDefault="00286B8D">
          <w:pPr>
            <w:pStyle w:val="DA8F311E7E9D914F8C0B3D86C2FB9D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8D"/>
    <w:rsid w:val="00286B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E52E91DCA1034C88D1C6F5C3383FFD">
    <w:name w:val="ECE52E91DCA1034C88D1C6F5C3383FFD"/>
  </w:style>
  <w:style w:type="paragraph" w:customStyle="1" w:styleId="64EB731DFF4FC4459CA425DF07705168">
    <w:name w:val="64EB731DFF4FC4459CA425DF07705168"/>
  </w:style>
  <w:style w:type="paragraph" w:customStyle="1" w:styleId="F01AE836CE9D0E45B478C8FA0450C1EE">
    <w:name w:val="F01AE836CE9D0E45B478C8FA0450C1EE"/>
  </w:style>
  <w:style w:type="paragraph" w:customStyle="1" w:styleId="79C5AE4169C5D445B8392CD6114E2871">
    <w:name w:val="79C5AE4169C5D445B8392CD6114E2871"/>
  </w:style>
  <w:style w:type="paragraph" w:customStyle="1" w:styleId="40ADE58604CC40409A0872BF97E5248B">
    <w:name w:val="40ADE58604CC40409A0872BF97E5248B"/>
  </w:style>
  <w:style w:type="paragraph" w:customStyle="1" w:styleId="BF3423C387AAF348BDDB01A2F6067D31">
    <w:name w:val="BF3423C387AAF348BDDB01A2F6067D31"/>
  </w:style>
  <w:style w:type="paragraph" w:customStyle="1" w:styleId="224DE616C52C9B499A2FB09E7413F69E">
    <w:name w:val="224DE616C52C9B499A2FB09E7413F69E"/>
  </w:style>
  <w:style w:type="paragraph" w:customStyle="1" w:styleId="285A5F7DFCC79E418A76E54121D616AA">
    <w:name w:val="285A5F7DFCC79E418A76E54121D616AA"/>
  </w:style>
  <w:style w:type="paragraph" w:customStyle="1" w:styleId="6A658CBAD083844FA57631B051DF58AE">
    <w:name w:val="6A658CBAD083844FA57631B051DF58AE"/>
  </w:style>
  <w:style w:type="paragraph" w:customStyle="1" w:styleId="40C23AC03F0E744CBB1C9094A1A3A881">
    <w:name w:val="40C23AC03F0E744CBB1C9094A1A3A881"/>
  </w:style>
  <w:style w:type="paragraph" w:customStyle="1" w:styleId="DA8F311E7E9D914F8C0B3D86C2FB9D5E">
    <w:name w:val="DA8F311E7E9D914F8C0B3D86C2FB9D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E52E91DCA1034C88D1C6F5C3383FFD">
    <w:name w:val="ECE52E91DCA1034C88D1C6F5C3383FFD"/>
  </w:style>
  <w:style w:type="paragraph" w:customStyle="1" w:styleId="64EB731DFF4FC4459CA425DF07705168">
    <w:name w:val="64EB731DFF4FC4459CA425DF07705168"/>
  </w:style>
  <w:style w:type="paragraph" w:customStyle="1" w:styleId="F01AE836CE9D0E45B478C8FA0450C1EE">
    <w:name w:val="F01AE836CE9D0E45B478C8FA0450C1EE"/>
  </w:style>
  <w:style w:type="paragraph" w:customStyle="1" w:styleId="79C5AE4169C5D445B8392CD6114E2871">
    <w:name w:val="79C5AE4169C5D445B8392CD6114E2871"/>
  </w:style>
  <w:style w:type="paragraph" w:customStyle="1" w:styleId="40ADE58604CC40409A0872BF97E5248B">
    <w:name w:val="40ADE58604CC40409A0872BF97E5248B"/>
  </w:style>
  <w:style w:type="paragraph" w:customStyle="1" w:styleId="BF3423C387AAF348BDDB01A2F6067D31">
    <w:name w:val="BF3423C387AAF348BDDB01A2F6067D31"/>
  </w:style>
  <w:style w:type="paragraph" w:customStyle="1" w:styleId="224DE616C52C9B499A2FB09E7413F69E">
    <w:name w:val="224DE616C52C9B499A2FB09E7413F69E"/>
  </w:style>
  <w:style w:type="paragraph" w:customStyle="1" w:styleId="285A5F7DFCC79E418A76E54121D616AA">
    <w:name w:val="285A5F7DFCC79E418A76E54121D616AA"/>
  </w:style>
  <w:style w:type="paragraph" w:customStyle="1" w:styleId="6A658CBAD083844FA57631B051DF58AE">
    <w:name w:val="6A658CBAD083844FA57631B051DF58AE"/>
  </w:style>
  <w:style w:type="paragraph" w:customStyle="1" w:styleId="40C23AC03F0E744CBB1C9094A1A3A881">
    <w:name w:val="40C23AC03F0E744CBB1C9094A1A3A881"/>
  </w:style>
  <w:style w:type="paragraph" w:customStyle="1" w:styleId="DA8F311E7E9D914F8C0B3D86C2FB9D5E">
    <w:name w:val="DA8F311E7E9D914F8C0B3D86C2FB9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Będ01</b:Tag>
    <b:SourceType>Book</b:SourceType>
    <b:Guid>{5204037C-3955-C04F-B2B0-27BDA8F93510}</b:Guid>
    <b:Title>Witold Lutosławski: A Bio-Bibliography</b:Title>
    <b:City>Westport</b:City>
    <b:Publisher>Greenwood Press</b:Publisher>
    <b:Year>2001</b:Year>
    <b:Author>
      <b:Author>
        <b:NameList>
          <b:Person>
            <b:Last>Będkowski</b:Last>
            <b:First>Stanisław</b:First>
          </b:Person>
          <b:Person>
            <b:Last>Hrabia</b:Last>
            <b:First>Stanisław </b:First>
          </b:Person>
        </b:NameList>
      </b:Author>
    </b:Author>
    <b:RefOrder>1</b:RefOrder>
  </b:Source>
  <b:Source>
    <b:Tag>Gwi04</b:Tag>
    <b:SourceType>Book</b:SourceType>
    <b:Guid>{8DAED092-C01F-634F-A3E1-A7F371514D29}</b:Guid>
    <b:Title>Lutosławski: Droga Do Dojrzałości</b:Title>
    <b:City>Kraków</b:City>
    <b:Publisher>Polih Musical Edition</b:Publisher>
    <b:Year>2003;2004</b:Year>
    <b:Author>
      <b:Author>
        <b:NameList>
          <b:Person>
            <b:Last>Gwizdalanka</b:Last>
            <b:First>Danuta</b:First>
          </b:Person>
          <b:Person>
            <b:Last>Meyer</b:Last>
            <b:First>Krzysztof</b:First>
          </b:Person>
        </b:NameList>
      </b:Author>
    </b:Author>
    <b:RefOrder>2</b:RefOrder>
  </b:Source>
  <b:Source>
    <b:Tag>Kac84</b:Tag>
    <b:SourceType>Book</b:SourceType>
    <b:Guid>{56052E8F-0958-774D-A43E-B55FE671A161}</b:Guid>
    <b:Title>Conversations with Witold Lutoslawski</b:Title>
    <b:City>London</b:City>
    <b:Publisher>Chester Music</b:Publisher>
    <b:Year>1984</b:Year>
    <b:Author>
      <b:Author>
        <b:NameList>
          <b:Person>
            <b:Last>Kaczyński</b:Last>
            <b:First>Tadeusz</b:First>
          </b:Person>
          <b:Person>
            <b:Last>Lutosławski</b:Last>
            <b:First>Witold</b:First>
          </b:Person>
        </b:NameList>
      </b:Author>
      <b:Translator>
        <b:NameList>
          <b:Person>
            <b:Last>May</b:Last>
            <b:First>Yolanta</b:First>
          </b:Person>
          <b:Person>
            <b:Last>Rae</b:Last>
            <b:Middle>Bodman</b:Middle>
            <b:First>Charles</b:First>
          </b:Person>
        </b:NameList>
      </b:Translator>
    </b:Author>
    <b:RefOrder>3</b:RefOrder>
  </b:Source>
  <b:Source>
    <b:Tag>Rae94</b:Tag>
    <b:SourceType>Book</b:SourceType>
    <b:Guid>{E33A7512-5D54-C449-A8D4-418DE2FE303A}</b:Guid>
    <b:Title>The Music of Lutosławski</b:Title>
    <b:City>London</b:City>
    <b:Publisher>Faber</b:Publisher>
    <b:Year>1994</b:Year>
    <b:Author>
      <b:Author>
        <b:NameList>
          <b:Person>
            <b:Last>Rae</b:Last>
            <b:Middle>B.</b:Middle>
            <b:First>Charles</b:First>
          </b:Person>
        </b:NameList>
      </b:Author>
    </b:Author>
    <b:RefOrder>4</b:RefOrder>
  </b:Source>
  <b:Source>
    <b:Tag>Rey07</b:Tag>
    <b:SourceType>JournalArticle</b:SourceType>
    <b:Guid>{C9124C3A-2BE9-754D-9EE9-12A5E9CA012B}</b:Guid>
    <b:Title>Lutosławski, 'akcja', and the Poetics of Musical Plot</b:Title>
    <b:Year>2007</b:Year>
    <b:Volume>88</b:Volume>
    <b:Pages>604-631</b:Pages>
    <b:Author>
      <b:Author>
        <b:NameList>
          <b:Person>
            <b:Last>Reyland</b:Last>
            <b:First>Nicholas</b:First>
          </b:Person>
        </b:NameList>
      </b:Author>
    </b:Author>
    <b:JournalName>Music and Letters</b:JournalName>
    <b:Issue>4</b:Issue>
    <b:RefOrder>5</b:RefOrder>
  </b:Source>
  <b:Source>
    <b:Tag>Sko01</b:Tag>
    <b:SourceType>Book</b:SourceType>
    <b:Guid>{B477182D-288E-AD4C-BD84-D70BC07BA195}</b:Guid>
    <b:Title>Lutosławski Studies</b:Title>
    <b:Publisher>Oxford UP</b:Publisher>
    <b:City>New York</b:City>
    <b:Year>2001</b:Year>
    <b:Author>
      <b:Editor>
        <b:NameList>
          <b:Person>
            <b:Last>Skowron</b:Last>
            <b:First>Zbigniew</b:First>
          </b:Person>
        </b:NameList>
      </b:Editor>
    </b:Author>
    <b:RefOrder>7</b:RefOrder>
  </b:Source>
  <b:Source>
    <b:Tag>Sko07</b:Tag>
    <b:SourceType>Book</b:SourceType>
    <b:Guid>{94263852-73C8-2444-8B33-A34E44DC7C23}</b:Guid>
    <b:Title>Lutoslawski on Music</b:Title>
    <b:City>Lanham</b:City>
    <b:Publisher>Scarecrow Press</b:Publisher>
    <b:Year>2007</b:Year>
    <b:Author>
      <b:Editor>
        <b:NameList>
          <b:Person>
            <b:Last>Skowron</b:Last>
            <b:First>Zbigniew</b:First>
          </b:Person>
        </b:NameList>
      </b:Editor>
    </b:Author>
    <b:RefOrder>6</b:RefOrder>
  </b:Source>
  <b:Source>
    <b:Tag>Tho05</b:Tag>
    <b:SourceType>Book</b:SourceType>
    <b:Guid>{46461170-785E-064D-8FE3-188E6DEF81D8}</b:Guid>
    <b:Title>Polish Music Since Szymanowski</b:Title>
    <b:City>Cambridge</b:City>
    <b:Publisher>Cambridge UP</b:Publisher>
    <b:Year>2005</b:Year>
    <b:Author>
      <b:Author>
        <b:NameList>
          <b:Person>
            <b:Last>Thomas</b:Last>
            <b:First>Adrian</b:First>
          </b:Person>
        </b:NameList>
      </b:Author>
    </b:Author>
    <b:RefOrder>8</b:RefOrder>
  </b:Source>
  <b:Source>
    <b:Tag>Var76</b:Tag>
    <b:SourceType>Book</b:SourceType>
    <b:Guid>{C04B188A-1669-7C4C-8A87-D960E0C141A4}</b:Guid>
    <b:Title>Lutosławski Profile: Witold Lutosławski in Conversation with Bálint András Varga</b:Title>
    <b:City>London</b:City>
    <b:Publisher>Chester Music</b:Publisher>
    <b:Year>1976</b:Year>
    <b:Author>
      <b:Author>
        <b:NameList>
          <b:Person>
            <b:Last>Varga</b:Last>
            <b:First>Bálint András</b:First>
          </b:Person>
        </b:NameList>
      </b:Author>
    </b:Author>
    <b:RefOrder>9</b:RefOrder>
  </b:Source>
  <b:Source>
    <b:Tag>Whi01</b:Tag>
    <b:SourceType>BookSection</b:SourceType>
    <b:Guid>{9BF07005-6668-5341-BB70-92ABD755D8EC}</b:Guid>
    <b:Title>Between Polarity and Synthesis: the Modernist Paradigm in Lutosławski's Concertos for Cello and Piano</b:Title>
    <b:City>New York </b:City>
    <b:Publisher>Oxford UP</b:Publisher>
    <b:Year>2001</b:Year>
    <b:Pages>244-268</b:Pages>
    <b:BookTitle>Lutosławski Studies</b:BookTitle>
    <b:Author>
      <b:Author>
        <b:NameList>
          <b:Person>
            <b:Last>Whittall</b:Last>
            <b:First>Arnold</b:First>
          </b:Person>
        </b:NameList>
      </b:Author>
    </b:Author>
    <b:RefOrder>10</b:RefOrder>
  </b:Source>
</b:Sources>
</file>

<file path=customXml/itemProps1.xml><?xml version="1.0" encoding="utf-8"?>
<ds:datastoreItem xmlns:ds="http://schemas.openxmlformats.org/officeDocument/2006/customXml" ds:itemID="{03841765-8A8C-9E4D-B11A-F39C5AAAE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1005</Words>
  <Characters>5732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2015-01-28T21:09:00Z</dcterms:created>
  <dcterms:modified xsi:type="dcterms:W3CDTF">2015-01-28T21:09:00Z</dcterms:modified>
</cp:coreProperties>
</file>