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0C2916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7302F3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CE36218D3559145AD74E91FDFCB6A9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E91149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2FB23F3E82D0C4D87AA659C7133DAC4"/>
            </w:placeholder>
            <w:text/>
          </w:sdtPr>
          <w:sdtEndPr/>
          <w:sdtContent>
            <w:tc>
              <w:tcPr>
                <w:tcW w:w="2073" w:type="dxa"/>
              </w:tcPr>
              <w:p w14:paraId="2ECFF877" w14:textId="77777777" w:rsidR="00B574C9" w:rsidRDefault="00485A42" w:rsidP="00485A42">
                <w:r>
                  <w:t xml:space="preserve">Thomas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D4ECA203E22474BA25DDAA5839381C8"/>
            </w:placeholder>
            <w:text/>
          </w:sdtPr>
          <w:sdtEndPr/>
          <w:sdtContent>
            <w:tc>
              <w:tcPr>
                <w:tcW w:w="2551" w:type="dxa"/>
              </w:tcPr>
              <w:p w14:paraId="7B7BC09F" w14:textId="77777777" w:rsidR="00B574C9" w:rsidRDefault="00485A42" w:rsidP="00485A42">
                <w:r>
                  <w:t>S.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C358788DD216943A0B8C8C0C192E3C3"/>
            </w:placeholder>
            <w:text/>
          </w:sdtPr>
          <w:sdtEndPr/>
          <w:sdtContent>
            <w:tc>
              <w:tcPr>
                <w:tcW w:w="2642" w:type="dxa"/>
              </w:tcPr>
              <w:p w14:paraId="55999A55" w14:textId="77777777" w:rsidR="00B574C9" w:rsidRDefault="00485A42" w:rsidP="00485A42">
                <w:r>
                  <w:t>Davis</w:t>
                </w:r>
              </w:p>
            </w:tc>
          </w:sdtContent>
        </w:sdt>
      </w:tr>
      <w:tr w:rsidR="00B574C9" w14:paraId="23060A2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513D8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BC832DD805E96409BAD6C275EC6A7B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EB1B8A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82E32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C157E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2AD2862A3C00C458AED5952335AF80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95741C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F513F0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F2FD54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AEC1D6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70DEDD0" w14:textId="77777777" w:rsidTr="003F0D73">
        <w:sdt>
          <w:sdtPr>
            <w:alias w:val="Article headword"/>
            <w:tag w:val="articleHeadword"/>
            <w:id w:val="-361440020"/>
            <w:placeholder>
              <w:docPart w:val="F79798340D1A5545B7F0318D0C1B5E8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16B441" w14:textId="77777777" w:rsidR="003F0D73" w:rsidRPr="00FB589A" w:rsidRDefault="00485A42" w:rsidP="003F0D73">
                <w:pPr>
                  <w:rPr>
                    <w:b/>
                  </w:rPr>
                </w:pPr>
                <w:proofErr w:type="spellStart"/>
                <w:r w:rsidRPr="008D4E27">
                  <w:t>Selvon</w:t>
                </w:r>
                <w:proofErr w:type="spellEnd"/>
                <w:r w:rsidRPr="008D4E27">
                  <w:t>, Samuel (1923-1994)</w:t>
                </w:r>
              </w:p>
            </w:tc>
          </w:sdtContent>
        </w:sdt>
      </w:tr>
      <w:tr w:rsidR="00464699" w14:paraId="0BF056DB" w14:textId="77777777" w:rsidTr="002902DB">
        <w:sdt>
          <w:sdtPr>
            <w:alias w:val="Variant headwords"/>
            <w:tag w:val="variantHeadwords"/>
            <w:id w:val="173464402"/>
            <w:placeholder>
              <w:docPart w:val="ACCB00FF80BDF5499E2935A1C7139EC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693A5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E1B5E6C" w14:textId="77777777" w:rsidTr="003F0D73">
        <w:sdt>
          <w:sdtPr>
            <w:alias w:val="Abstract"/>
            <w:tag w:val="abstract"/>
            <w:id w:val="-635871867"/>
            <w:placeholder>
              <w:docPart w:val="22EC9645113EC74DAB78E10DC24821E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11273F" w14:textId="414B8F9B" w:rsidR="00E85A05" w:rsidRDefault="003D7B1B" w:rsidP="00E85A05">
                <w:r>
                  <w:t xml:space="preserve">Samuel </w:t>
                </w:r>
                <w:proofErr w:type="spellStart"/>
                <w:r>
                  <w:t>Selvon</w:t>
                </w:r>
                <w:proofErr w:type="spellEnd"/>
                <w:r>
                  <w:t xml:space="preserve"> was a Trinidadian writer whose vivid portraits of daily life in both the Caribbean and post World War II England garnered international acclaim.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episodic storytelling, vernacular narration, and stylistic inventiveness have led critics past and present to classify his writing alongside both his modernist predecessors, and his postcolonial contemporaries. </w:t>
                </w:r>
                <w:proofErr w:type="spellStart"/>
                <w:r>
                  <w:t>Selvon</w:t>
                </w:r>
                <w:proofErr w:type="spellEnd"/>
                <w:r>
                  <w:t xml:space="preserve"> was born in Trinidad in 1923 to an East Indian father and an Anglo-Scottish mother. In his own words, he grew up as a ‘Creolized West Indian’ (</w:t>
                </w:r>
                <w:proofErr w:type="spellStart"/>
                <w:r>
                  <w:t>Nasta</w:t>
                </w:r>
                <w:proofErr w:type="spellEnd"/>
                <w:r>
                  <w:t xml:space="preserve"> 3). He worked as a wireless operator for the Royal Naval Reserve during the Second World. After the war ended in 1945, </w:t>
                </w:r>
                <w:proofErr w:type="spellStart"/>
                <w:r>
                  <w:t>Selvon</w:t>
                </w:r>
                <w:proofErr w:type="spellEnd"/>
                <w:r>
                  <w:t xml:space="preserve"> relocated to Port of Spain and began his early forays into journalism, contributing to </w:t>
                </w:r>
                <w:r>
                  <w:rPr>
                    <w:i/>
                  </w:rPr>
                  <w:t xml:space="preserve">The Trinidad Guardian </w:t>
                </w:r>
                <w:r>
                  <w:t xml:space="preserve">and serving as the fiction editor for </w:t>
                </w:r>
                <w:r>
                  <w:rPr>
                    <w:i/>
                  </w:rPr>
                  <w:t xml:space="preserve">The Guardian Weekly.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early stories and sketches, now collected in </w:t>
                </w:r>
                <w:proofErr w:type="spellStart"/>
                <w:r>
                  <w:rPr>
                    <w:i/>
                  </w:rPr>
                  <w:t>Foreday</w:t>
                </w:r>
                <w:proofErr w:type="spellEnd"/>
                <w:r>
                  <w:rPr>
                    <w:i/>
                  </w:rPr>
                  <w:t xml:space="preserve"> Morning, </w:t>
                </w:r>
                <w:r>
                  <w:t xml:space="preserve">demonstrate his early preoccupation with the details of everyday life, a preoccupation that cuts across his writings. In 1950, somewhat disenchanted with what he called the ‘very complacent and easy going’ Trinidadian life, </w:t>
                </w:r>
                <w:proofErr w:type="spellStart"/>
                <w:r>
                  <w:t>Selvon</w:t>
                </w:r>
                <w:proofErr w:type="spellEnd"/>
                <w:r>
                  <w:t xml:space="preserve"> migrated to England on a boat that also carried the Barbadian novelist George Lamming.  </w:t>
                </w:r>
              </w:p>
            </w:tc>
          </w:sdtContent>
        </w:sdt>
      </w:tr>
      <w:tr w:rsidR="003F0D73" w14:paraId="736E192A" w14:textId="77777777" w:rsidTr="003F0D73">
        <w:sdt>
          <w:sdtPr>
            <w:alias w:val="Article text"/>
            <w:tag w:val="articleText"/>
            <w:id w:val="634067588"/>
            <w:placeholder>
              <w:docPart w:val="E5F291323204584BAED903DF5D09263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4B490B" w14:textId="7623C4F8" w:rsidR="00485A42" w:rsidRDefault="00485A42" w:rsidP="00485A42">
                <w:r>
                  <w:t xml:space="preserve">Samuel </w:t>
                </w:r>
                <w:proofErr w:type="spellStart"/>
                <w:r>
                  <w:t>Selvon</w:t>
                </w:r>
                <w:proofErr w:type="spellEnd"/>
                <w:r>
                  <w:t xml:space="preserve"> was a Trinidadian writer whose vivid portraits of daily l</w:t>
                </w:r>
                <w:r w:rsidR="008D4E27">
                  <w:t>ife in both the Caribbean and</w:t>
                </w:r>
                <w:r>
                  <w:t xml:space="preserve"> post World War II England g</w:t>
                </w:r>
                <w:r w:rsidR="008D4E27">
                  <w:t xml:space="preserve">arnered international acclaim.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episodic storytelling, vernacular narration, and stylistic inventiveness have led critics past and present to classify his writing alongside both his modernist predecessors</w:t>
                </w:r>
                <w:r w:rsidR="003D7B1B">
                  <w:t>,</w:t>
                </w:r>
                <w:r>
                  <w:t xml:space="preserve"> and his</w:t>
                </w:r>
                <w:r w:rsidR="002902DB">
                  <w:t xml:space="preserve"> postcolonial contemporaries. </w:t>
                </w:r>
                <w:proofErr w:type="spellStart"/>
                <w:r>
                  <w:t>Selvon</w:t>
                </w:r>
                <w:proofErr w:type="spellEnd"/>
                <w:r>
                  <w:t xml:space="preserve"> was born in Trinidad in 1923 to an East Indian fathe</w:t>
                </w:r>
                <w:r w:rsidR="002902DB">
                  <w:t>r and an Anglo-Scottish mother.</w:t>
                </w:r>
                <w:r>
                  <w:t xml:space="preserve"> In his own words, he grew up as a ‘Creolized We</w:t>
                </w:r>
                <w:r w:rsidR="002902DB">
                  <w:t>st Indian’ (</w:t>
                </w:r>
                <w:proofErr w:type="spellStart"/>
                <w:r w:rsidR="002902DB">
                  <w:t>Nasta</w:t>
                </w:r>
                <w:proofErr w:type="spellEnd"/>
                <w:r w:rsidR="002902DB">
                  <w:t xml:space="preserve"> 3). </w:t>
                </w:r>
                <w:r>
                  <w:t>He worked as a wireless operator for the Royal Naval R</w:t>
                </w:r>
                <w:r w:rsidR="002902DB">
                  <w:t>eserve during the Second World.</w:t>
                </w:r>
                <w:r>
                  <w:t xml:space="preserve"> After the war ended in 1945, </w:t>
                </w:r>
                <w:proofErr w:type="spellStart"/>
                <w:r>
                  <w:t>Selvon</w:t>
                </w:r>
                <w:proofErr w:type="spellEnd"/>
                <w:r>
                  <w:t xml:space="preserve"> relocated to Port of Spain and began his early forays into journalism, contributing to </w:t>
                </w:r>
                <w:r>
                  <w:rPr>
                    <w:i/>
                  </w:rPr>
                  <w:t xml:space="preserve">The Trinidad Guardian </w:t>
                </w:r>
                <w:r>
                  <w:t xml:space="preserve">and serving as the fiction editor for </w:t>
                </w:r>
                <w:r w:rsidR="002902DB">
                  <w:rPr>
                    <w:i/>
                  </w:rPr>
                  <w:t>The Guardian Weekly.</w:t>
                </w:r>
                <w:r>
                  <w:rPr>
                    <w:i/>
                  </w:rPr>
                  <w:t xml:space="preserve">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early stories and sketches, now collected in </w:t>
                </w:r>
                <w:proofErr w:type="spellStart"/>
                <w:r>
                  <w:rPr>
                    <w:i/>
                  </w:rPr>
                  <w:t>Foreday</w:t>
                </w:r>
                <w:proofErr w:type="spellEnd"/>
                <w:r>
                  <w:rPr>
                    <w:i/>
                  </w:rPr>
                  <w:t xml:space="preserve"> Morning, </w:t>
                </w:r>
                <w:r w:rsidR="002902DB">
                  <w:t>demonstrate</w:t>
                </w:r>
                <w:r>
                  <w:t xml:space="preserve"> his early preoccupation with the details of everyday life, a preoccupation that cuts across </w:t>
                </w:r>
                <w:r w:rsidR="003D7B1B">
                  <w:t>his writings.</w:t>
                </w:r>
                <w:r>
                  <w:t xml:space="preserve"> In 1950, somewhat disenchanted with what he called the ‘very complacent and </w:t>
                </w:r>
                <w:r w:rsidR="002902DB">
                  <w:t>easy going</w:t>
                </w:r>
                <w:r>
                  <w:t xml:space="preserve">’ Trinidadian life, </w:t>
                </w:r>
                <w:proofErr w:type="spellStart"/>
                <w:r>
                  <w:t>Selvon</w:t>
                </w:r>
                <w:proofErr w:type="spellEnd"/>
                <w:r>
                  <w:t xml:space="preserve"> migrated to England on a boat that also carried the Barbadian novelist George Lamming.  </w:t>
                </w:r>
              </w:p>
              <w:p w14:paraId="763E07AE" w14:textId="77777777" w:rsidR="00485A42" w:rsidRDefault="00485A42" w:rsidP="00485A42"/>
              <w:p w14:paraId="62EBAE20" w14:textId="77777777" w:rsidR="005E0730" w:rsidRDefault="00485A42" w:rsidP="00485A42">
                <w:r>
                  <w:t xml:space="preserve">Like many other writers from the Anglophone Caribbean, often referred to as the </w:t>
                </w:r>
                <w:proofErr w:type="spellStart"/>
                <w:r>
                  <w:rPr>
                    <w:i/>
                  </w:rPr>
                  <w:t>Windrush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generation, </w:t>
                </w:r>
                <w:proofErr w:type="spellStart"/>
                <w:r>
                  <w:t>Selvon</w:t>
                </w:r>
                <w:proofErr w:type="spellEnd"/>
                <w:r>
                  <w:t xml:space="preserve"> </w:t>
                </w:r>
                <w:r w:rsidR="00BF48A2">
                  <w:t>launched</w:t>
                </w:r>
                <w:r>
                  <w:t xml:space="preserve"> his</w:t>
                </w:r>
                <w:r w:rsidR="002902DB">
                  <w:t xml:space="preserve"> literary career from England.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first novel, </w:t>
                </w:r>
                <w:r>
                  <w:rPr>
                    <w:i/>
                  </w:rPr>
                  <w:t>A Brighter Sun</w:t>
                </w:r>
                <w:r>
                  <w:t>, was published in 1952, winning him international acclaim.</w:t>
                </w:r>
                <w:r w:rsidR="002902DB">
                  <w:t xml:space="preserve"> </w:t>
                </w:r>
                <w:r>
                  <w:t xml:space="preserve">In 1955, </w:t>
                </w:r>
                <w:proofErr w:type="spellStart"/>
                <w:r>
                  <w:t>Selvon</w:t>
                </w:r>
                <w:proofErr w:type="spellEnd"/>
                <w:r>
                  <w:t xml:space="preserve"> published his second novel </w:t>
                </w:r>
                <w:r>
                  <w:rPr>
                    <w:i/>
                  </w:rPr>
                  <w:t>An Island Is a World</w:t>
                </w:r>
                <w:r>
                  <w:t xml:space="preserve"> and received a Guggenheim Fellowship (he would receive </w:t>
                </w:r>
                <w:r w:rsidR="002902DB">
                  <w:t xml:space="preserve">the fellowship again in 1968). </w:t>
                </w:r>
                <w:r>
                  <w:t xml:space="preserve">The following year saw the publication of his celebrated novel of migrant life in 1950s Britain, </w:t>
                </w:r>
                <w:r>
                  <w:rPr>
                    <w:i/>
                  </w:rPr>
                  <w:t>The Lonely Londoners</w:t>
                </w:r>
                <w:r w:rsidR="005E0730">
                  <w:t xml:space="preserve">, which </w:t>
                </w:r>
                <w:r>
                  <w:t>follows a group of migrants from the Cari</w:t>
                </w:r>
                <w:r w:rsidR="00D05E83">
                  <w:t xml:space="preserve">bbean and Africa as </w:t>
                </w:r>
                <w:r w:rsidR="00BF48A2">
                  <w:t>they navigate</w:t>
                </w:r>
                <w:r>
                  <w:t xml:space="preserve"> </w:t>
                </w:r>
                <w:r w:rsidR="005E0730">
                  <w:t xml:space="preserve">the </w:t>
                </w:r>
                <w:r>
                  <w:t xml:space="preserve">direct and indirect forms of racism pervading daily life </w:t>
                </w:r>
                <w:r>
                  <w:lastRenderedPageBreak/>
                  <w:t>i</w:t>
                </w:r>
                <w:r w:rsidR="00BF48A2">
                  <w:t>n 1950s London.</w:t>
                </w:r>
                <w:r>
                  <w:t xml:space="preserve">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novel explores both the ecstasies of life in the metropolis and the deep, sometimes unavoidab</w:t>
                </w:r>
                <w:r w:rsidR="00D05E83">
                  <w:t>le</w:t>
                </w:r>
                <w:r w:rsidR="005E0730">
                  <w:t>,</w:t>
                </w:r>
                <w:r w:rsidR="00D05E83">
                  <w:t xml:space="preserve"> alienation of urban living. </w:t>
                </w:r>
              </w:p>
              <w:p w14:paraId="0F4A2A95" w14:textId="77777777" w:rsidR="005E0730" w:rsidRDefault="005E0730" w:rsidP="00485A42"/>
              <w:p w14:paraId="3EF58591" w14:textId="0683F492" w:rsidR="00485A42" w:rsidRDefault="00485A42" w:rsidP="00485A42">
                <w:r>
                  <w:t xml:space="preserve">The most noteworthy and discussed feature of </w:t>
                </w:r>
                <w:r>
                  <w:rPr>
                    <w:i/>
                  </w:rPr>
                  <w:t xml:space="preserve">The Lonely </w:t>
                </w:r>
                <w:r w:rsidRPr="00476555">
                  <w:rPr>
                    <w:i/>
                  </w:rPr>
                  <w:t>Londoner</w:t>
                </w:r>
                <w:r>
                  <w:rPr>
                    <w:i/>
                  </w:rPr>
                  <w:t xml:space="preserve">s </w:t>
                </w:r>
                <w:r>
                  <w:t xml:space="preserve">is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use of an invented Caribbean verna</w:t>
                </w:r>
                <w:r w:rsidR="002902DB">
                  <w:t xml:space="preserve">cular for the narrative voice. </w:t>
                </w:r>
                <w:proofErr w:type="spellStart"/>
                <w:r>
                  <w:t>Selvon</w:t>
                </w:r>
                <w:proofErr w:type="spellEnd"/>
                <w:r>
                  <w:t xml:space="preserve"> experimented with vernacular to great effect in </w:t>
                </w:r>
                <w:r>
                  <w:rPr>
                    <w:i/>
                  </w:rPr>
                  <w:t xml:space="preserve">A Brighter Sun </w:t>
                </w:r>
                <w:r>
                  <w:t>and in short stories such as ‘Finding Piccadilly Circus’ (1</w:t>
                </w:r>
                <w:r w:rsidR="002902DB">
                  <w:t>950) and ‘</w:t>
                </w:r>
                <w:proofErr w:type="spellStart"/>
                <w:r w:rsidR="002902DB">
                  <w:t>Calypsonian</w:t>
                </w:r>
                <w:proofErr w:type="spellEnd"/>
                <w:r w:rsidR="002902DB">
                  <w:t xml:space="preserve">’ (1952). </w:t>
                </w:r>
                <w:r>
                  <w:t xml:space="preserve">Apart from Vic Reid’s </w:t>
                </w:r>
                <w:r>
                  <w:rPr>
                    <w:i/>
                  </w:rPr>
                  <w:t xml:space="preserve">New Day </w:t>
                </w:r>
                <w:r>
                  <w:t xml:space="preserve">(1949), </w:t>
                </w:r>
                <w:r>
                  <w:rPr>
                    <w:i/>
                  </w:rPr>
                  <w:t>The Lonely Londoners</w:t>
                </w:r>
                <w:r>
                  <w:t xml:space="preserve"> was the only other work from the Anglophone Caribbean composed entirely in the vernacular; and unlike Reid’s novel</w:t>
                </w:r>
                <w:r w:rsidR="00D05E83">
                  <w:t>,</w:t>
                </w:r>
                <w:r>
                  <w:t xml:space="preserve"> which is told entirely by a first person narrator, </w:t>
                </w:r>
                <w:r>
                  <w:rPr>
                    <w:i/>
                  </w:rPr>
                  <w:t>The Lonely Londoners</w:t>
                </w:r>
                <w:r>
                  <w:t xml:space="preserve"> employs an omniscient narrative voice that arguably merges with the voice of Moses </w:t>
                </w:r>
                <w:proofErr w:type="spellStart"/>
                <w:r>
                  <w:t>Aloetta</w:t>
                </w:r>
                <w:proofErr w:type="spellEnd"/>
                <w:r>
                  <w:t>, the no</w:t>
                </w:r>
                <w:r w:rsidR="002902DB">
                  <w:t xml:space="preserve">vel’s protagonist, by the end. </w:t>
                </w:r>
                <w:r>
                  <w:t xml:space="preserve">Early readers took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vernacular as an authentic replication of </w:t>
                </w:r>
                <w:r w:rsidR="00417EA9">
                  <w:t>Caribbean speech, however,</w:t>
                </w:r>
                <w:r>
                  <w:t xml:space="preserve"> </w:t>
                </w:r>
                <w:proofErr w:type="spellStart"/>
                <w:r>
                  <w:t>Selvon</w:t>
                </w:r>
                <w:proofErr w:type="spellEnd"/>
                <w:r>
                  <w:t xml:space="preserve"> would later claim that he ‘w</w:t>
                </w:r>
                <w:r>
                  <w:rPr>
                    <w:rFonts w:eastAsia="Times New Roman" w:cs="Times New Roman"/>
                  </w:rPr>
                  <w:t>rote a modified dialect which could be understood by European readers, yet retain the flavour and essence of Trinidadian speech’ (</w:t>
                </w:r>
                <w:proofErr w:type="spellStart"/>
                <w:r>
                  <w:rPr>
                    <w:rFonts w:eastAsia="Times New Roman" w:cs="Times New Roman"/>
                  </w:rPr>
                  <w:t>qtd</w:t>
                </w:r>
                <w:proofErr w:type="spellEnd"/>
                <w:r>
                  <w:rPr>
                    <w:rFonts w:eastAsia="Times New Roman" w:cs="Times New Roman"/>
                  </w:rPr>
                  <w:t xml:space="preserve">. in </w:t>
                </w:r>
                <w:proofErr w:type="spellStart"/>
                <w:r>
                  <w:rPr>
                    <w:rFonts w:eastAsia="Times New Roman" w:cs="Times New Roman"/>
                  </w:rPr>
                  <w:t>Nasta</w:t>
                </w:r>
                <w:proofErr w:type="spellEnd"/>
                <w:r>
                  <w:rPr>
                    <w:rFonts w:eastAsia="Times New Roman" w:cs="Times New Roman"/>
                  </w:rPr>
                  <w:t xml:space="preserve"> 66).  </w:t>
                </w:r>
                <w:proofErr w:type="spellStart"/>
                <w:r w:rsidRPr="00E9111D">
                  <w:t>Selvon</w:t>
                </w:r>
                <w:proofErr w:type="spellEnd"/>
                <w:r>
                  <w:t xml:space="preserve"> builds his novel around loosely related </w:t>
                </w:r>
                <w:r w:rsidR="00417EA9">
                  <w:t>episodes;</w:t>
                </w:r>
                <w:r>
                  <w:t xml:space="preserve"> a style many critics suggest is derived from Calyp</w:t>
                </w:r>
                <w:r w:rsidR="00417EA9">
                  <w:t>so song and story structures.</w:t>
                </w:r>
                <w:r w:rsidR="002902DB">
                  <w:t xml:space="preserve"> </w:t>
                </w:r>
                <w:r>
                  <w:t>The novel tracks the lives of several African and Caribbean migrants, but the majority of the narra</w:t>
                </w:r>
                <w:r w:rsidR="002902DB">
                  <w:t xml:space="preserve">tive </w:t>
                </w:r>
                <w:r w:rsidR="005E0730">
                  <w:t>centres</w:t>
                </w:r>
                <w:r w:rsidR="002902DB">
                  <w:t xml:space="preserve"> on Moses </w:t>
                </w:r>
                <w:proofErr w:type="spellStart"/>
                <w:r w:rsidR="002902DB">
                  <w:t>Aloetta</w:t>
                </w:r>
                <w:proofErr w:type="spellEnd"/>
                <w:r w:rsidR="002902DB">
                  <w:t xml:space="preserve">. </w:t>
                </w:r>
                <w:r>
                  <w:rPr>
                    <w:i/>
                  </w:rPr>
                  <w:t xml:space="preserve">The Lonely Londoners </w:t>
                </w:r>
                <w:r>
                  <w:t xml:space="preserve">addresses the structural racism of </w:t>
                </w:r>
                <w:proofErr w:type="spellStart"/>
                <w:r>
                  <w:t>postwar</w:t>
                </w:r>
                <w:proofErr w:type="spellEnd"/>
                <w:r>
                  <w:t xml:space="preserve"> Britain, stretching from issues of </w:t>
                </w:r>
                <w:r w:rsidR="00417EA9">
                  <w:t>labour</w:t>
                </w:r>
                <w:r>
                  <w:t xml:space="preserve"> and housing to </w:t>
                </w:r>
                <w:r w:rsidR="002902DB">
                  <w:t>sexuality and gender relations.</w:t>
                </w:r>
                <w:r>
                  <w:t xml:space="preserve"> With a nod to the linguistic innovation of his modernist predecessors, </w:t>
                </w:r>
                <w:proofErr w:type="spellStart"/>
                <w:r>
                  <w:t>Selvon</w:t>
                </w:r>
                <w:proofErr w:type="spellEnd"/>
                <w:r>
                  <w:t xml:space="preserve"> renders one episode in stream-of-consciousness narration. </w:t>
                </w:r>
              </w:p>
              <w:p w14:paraId="6C11E703" w14:textId="77777777" w:rsidR="00485A42" w:rsidRDefault="00485A42" w:rsidP="00485A42">
                <w:pPr>
                  <w:rPr>
                    <w:rFonts w:eastAsia="Times New Roman" w:cs="Times New Roman"/>
                    <w:i/>
                  </w:rPr>
                </w:pPr>
              </w:p>
              <w:p w14:paraId="05D8480B" w14:textId="756C2BC9" w:rsidR="00485A42" w:rsidRPr="00C55CDA" w:rsidRDefault="00485A42" w:rsidP="00485A42">
                <w:pPr>
                  <w:rPr>
                    <w:b/>
                  </w:rPr>
                </w:pPr>
                <w:r>
                  <w:rPr>
                    <w:rFonts w:eastAsia="Times New Roman" w:cs="Times New Roman"/>
                  </w:rPr>
                  <w:t xml:space="preserve">Though they have attracted less critical attention, </w:t>
                </w:r>
                <w:r>
                  <w:rPr>
                    <w:rFonts w:eastAsia="Times New Roman" w:cs="Times New Roman"/>
                    <w:i/>
                  </w:rPr>
                  <w:t xml:space="preserve">The Housing Lark </w:t>
                </w:r>
                <w:r>
                  <w:rPr>
                    <w:rFonts w:eastAsia="Times New Roman" w:cs="Times New Roman"/>
                  </w:rPr>
                  <w:t xml:space="preserve"> (1965), </w:t>
                </w:r>
                <w:r>
                  <w:rPr>
                    <w:rFonts w:eastAsia="Times New Roman" w:cs="Times New Roman"/>
                    <w:i/>
                  </w:rPr>
                  <w:t xml:space="preserve">Moses Ascending </w:t>
                </w:r>
                <w:r>
                  <w:rPr>
                    <w:rFonts w:eastAsia="Times New Roman" w:cs="Times New Roman"/>
                  </w:rPr>
                  <w:t>(1975)</w:t>
                </w:r>
                <w:r w:rsidR="00417EA9">
                  <w:rPr>
                    <w:rFonts w:eastAsia="Times New Roman" w:cs="Times New Roman"/>
                  </w:rPr>
                  <w:t>,</w:t>
                </w:r>
                <w:r>
                  <w:rPr>
                    <w:rFonts w:eastAsia="Times New Roman" w:cs="Times New Roman"/>
                  </w:rPr>
                  <w:t xml:space="preserve"> and </w:t>
                </w:r>
                <w:r>
                  <w:rPr>
                    <w:rFonts w:eastAsia="Times New Roman" w:cs="Times New Roman"/>
                    <w:i/>
                  </w:rPr>
                  <w:t xml:space="preserve">Moses Migrating </w:t>
                </w:r>
                <w:r>
                  <w:rPr>
                    <w:rFonts w:eastAsia="Times New Roman" w:cs="Times New Roman"/>
                  </w:rPr>
                  <w:t xml:space="preserve">(1983), continue </w:t>
                </w:r>
                <w:proofErr w:type="spellStart"/>
                <w:r>
                  <w:rPr>
                    <w:rFonts w:eastAsia="Times New Roman" w:cs="Times New Roman"/>
                  </w:rPr>
                  <w:t>Selvon’s</w:t>
                </w:r>
                <w:proofErr w:type="spellEnd"/>
                <w:r>
                  <w:rPr>
                    <w:rFonts w:eastAsia="Times New Roman" w:cs="Times New Roman"/>
                  </w:rPr>
                  <w:t xml:space="preserve"> investigations of e</w:t>
                </w:r>
                <w:r w:rsidR="00417EA9">
                  <w:rPr>
                    <w:rFonts w:eastAsia="Times New Roman" w:cs="Times New Roman"/>
                  </w:rPr>
                  <w:t xml:space="preserve">veryday life of black Britons. </w:t>
                </w:r>
                <w:r>
                  <w:rPr>
                    <w:rFonts w:eastAsia="Times New Roman" w:cs="Times New Roman"/>
                  </w:rPr>
                  <w:t xml:space="preserve">The latter two novels follow Moses </w:t>
                </w:r>
                <w:proofErr w:type="spellStart"/>
                <w:r>
                  <w:rPr>
                    <w:rFonts w:eastAsia="Times New Roman" w:cs="Times New Roman"/>
                  </w:rPr>
                  <w:t>Aloetta’s</w:t>
                </w:r>
                <w:proofErr w:type="spellEnd"/>
                <w:r>
                  <w:rPr>
                    <w:rFonts w:eastAsia="Times New Roman" w:cs="Times New Roman"/>
                  </w:rPr>
                  <w:t xml:space="preserve"> further adventures in London and his journe</w:t>
                </w:r>
                <w:r w:rsidR="002902DB">
                  <w:rPr>
                    <w:rFonts w:eastAsia="Times New Roman" w:cs="Times New Roman"/>
                  </w:rPr>
                  <w:t xml:space="preserve">y back to his native Trinidad. </w:t>
                </w:r>
                <w:r>
                  <w:rPr>
                    <w:rFonts w:eastAsia="Times New Roman" w:cs="Times New Roman"/>
                  </w:rPr>
                  <w:t xml:space="preserve">There is some critical disagreement over whether these two novels and </w:t>
                </w:r>
                <w:r>
                  <w:rPr>
                    <w:rFonts w:eastAsia="Times New Roman" w:cs="Times New Roman"/>
                    <w:i/>
                  </w:rPr>
                  <w:t>The Lonely Londoners</w:t>
                </w:r>
                <w:r>
                  <w:rPr>
                    <w:rFonts w:eastAsia="Times New Roman" w:cs="Times New Roman"/>
                  </w:rPr>
                  <w:t xml:space="preserve"> constitute a proper trilogy. </w:t>
                </w:r>
              </w:p>
              <w:p w14:paraId="55507B7A" w14:textId="77777777" w:rsidR="00485A42" w:rsidRDefault="00485A42" w:rsidP="00485A42">
                <w:pPr>
                  <w:rPr>
                    <w:b/>
                  </w:rPr>
                </w:pPr>
              </w:p>
              <w:p w14:paraId="0B9DDAFA" w14:textId="2B5049AE" w:rsidR="00485A42" w:rsidRDefault="00485A42" w:rsidP="00485A42">
                <w:proofErr w:type="spellStart"/>
                <w:r>
                  <w:t>Selvon</w:t>
                </w:r>
                <w:proofErr w:type="spellEnd"/>
                <w:r>
                  <w:t xml:space="preserve"> left the UK in 1978 for Canada</w:t>
                </w:r>
                <w:r w:rsidR="005E0730">
                  <w:t>,</w:t>
                </w:r>
                <w:bookmarkStart w:id="0" w:name="_GoBack"/>
                <w:bookmarkEnd w:id="0"/>
                <w:r>
                  <w:t xml:space="preserve"> where he took up posts at the University of Victoria and the University of Calgary </w:t>
                </w:r>
                <w:r w:rsidR="00417EA9">
                  <w:t>(</w:t>
                </w:r>
                <w:r>
                  <w:t xml:space="preserve">where he first worked as a janitor for four months before </w:t>
                </w:r>
                <w:r w:rsidR="002902DB">
                  <w:t>becoming a writer-in-residence</w:t>
                </w:r>
                <w:r w:rsidR="00417EA9">
                  <w:t>)</w:t>
                </w:r>
                <w:r w:rsidR="002902DB">
                  <w:t>.</w:t>
                </w:r>
                <w:r>
                  <w:t xml:space="preserve"> He died of a heart attack while visiting Trinidad in 1994.  </w:t>
                </w:r>
              </w:p>
              <w:p w14:paraId="41E672A0" w14:textId="77777777" w:rsidR="00485A42" w:rsidRDefault="00485A42" w:rsidP="00485A42">
                <w:r>
                  <w:t xml:space="preserve"> </w:t>
                </w:r>
              </w:p>
              <w:p w14:paraId="5C8263F6" w14:textId="71165EEA" w:rsidR="00485A42" w:rsidRPr="008D4E27" w:rsidRDefault="008D4E27" w:rsidP="008D4E27">
                <w:pPr>
                  <w:pStyle w:val="Heading1"/>
                  <w:outlineLvl w:val="0"/>
                </w:pPr>
                <w:r>
                  <w:t>Selected Works</w:t>
                </w:r>
              </w:p>
              <w:p w14:paraId="1141C583" w14:textId="77777777" w:rsidR="00485A42" w:rsidRDefault="00485A42" w:rsidP="00485A42">
                <w:r>
                  <w:rPr>
                    <w:i/>
                  </w:rPr>
                  <w:t xml:space="preserve">A Brighter Sun </w:t>
                </w:r>
                <w:r>
                  <w:t>(1952)</w:t>
                </w:r>
              </w:p>
              <w:p w14:paraId="2342F0B5" w14:textId="77777777" w:rsidR="00485A42" w:rsidRDefault="00485A42" w:rsidP="00485A42">
                <w:r>
                  <w:rPr>
                    <w:i/>
                  </w:rPr>
                  <w:t xml:space="preserve">An Island is a World </w:t>
                </w:r>
                <w:r>
                  <w:t>(1955)</w:t>
                </w:r>
              </w:p>
              <w:p w14:paraId="5A19197B" w14:textId="77777777" w:rsidR="00485A42" w:rsidRDefault="00485A42" w:rsidP="00485A42">
                <w:r>
                  <w:rPr>
                    <w:i/>
                  </w:rPr>
                  <w:t xml:space="preserve">The Lonely Londoners </w:t>
                </w:r>
                <w:r>
                  <w:t>(1956)</w:t>
                </w:r>
              </w:p>
              <w:p w14:paraId="0FF379B3" w14:textId="77777777" w:rsidR="00485A42" w:rsidRDefault="00485A42" w:rsidP="00485A42">
                <w:r>
                  <w:rPr>
                    <w:i/>
                  </w:rPr>
                  <w:t xml:space="preserve">Ways of Sunlight </w:t>
                </w:r>
                <w:r>
                  <w:t>(1957)</w:t>
                </w:r>
              </w:p>
              <w:p w14:paraId="0A907EBB" w14:textId="77777777" w:rsidR="00485A42" w:rsidRDefault="00485A42" w:rsidP="00485A42">
                <w:r>
                  <w:rPr>
                    <w:i/>
                  </w:rPr>
                  <w:t xml:space="preserve">Turn Again Tiger </w:t>
                </w:r>
                <w:r>
                  <w:t>(1958)</w:t>
                </w:r>
              </w:p>
              <w:p w14:paraId="645A6FF9" w14:textId="77777777" w:rsidR="00485A42" w:rsidRDefault="00485A42" w:rsidP="00485A42">
                <w:r>
                  <w:rPr>
                    <w:i/>
                  </w:rPr>
                  <w:t xml:space="preserve">I Hear Thunder </w:t>
                </w:r>
                <w:r>
                  <w:t>(1963)</w:t>
                </w:r>
              </w:p>
              <w:p w14:paraId="7C868B74" w14:textId="77777777" w:rsidR="00485A42" w:rsidRDefault="00485A42" w:rsidP="00485A42">
                <w:r>
                  <w:rPr>
                    <w:i/>
                  </w:rPr>
                  <w:t xml:space="preserve">The Housing Lark </w:t>
                </w:r>
                <w:r>
                  <w:t>(1965)</w:t>
                </w:r>
              </w:p>
              <w:p w14:paraId="50A0E5D7" w14:textId="77777777" w:rsidR="00485A42" w:rsidRDefault="00485A42" w:rsidP="00485A42">
                <w:r>
                  <w:rPr>
                    <w:i/>
                  </w:rPr>
                  <w:t xml:space="preserve">The Plains of Caroni </w:t>
                </w:r>
                <w:r>
                  <w:t>(1970)</w:t>
                </w:r>
              </w:p>
              <w:p w14:paraId="479E36F5" w14:textId="77777777" w:rsidR="00485A42" w:rsidRDefault="00485A42" w:rsidP="00485A42">
                <w:r>
                  <w:rPr>
                    <w:i/>
                  </w:rPr>
                  <w:t xml:space="preserve">Those Who Eat the </w:t>
                </w:r>
                <w:proofErr w:type="spellStart"/>
                <w:r>
                  <w:rPr>
                    <w:i/>
                  </w:rPr>
                  <w:t>Cascadura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(1972)</w:t>
                </w:r>
              </w:p>
              <w:p w14:paraId="1BAF2448" w14:textId="77777777" w:rsidR="00485A42" w:rsidRDefault="00485A42" w:rsidP="00485A42">
                <w:r>
                  <w:rPr>
                    <w:i/>
                  </w:rPr>
                  <w:t xml:space="preserve">Moses Ascending </w:t>
                </w:r>
                <w:r>
                  <w:t>(1975)</w:t>
                </w:r>
              </w:p>
              <w:p w14:paraId="290F9861" w14:textId="77777777" w:rsidR="00485A42" w:rsidRDefault="00485A42" w:rsidP="00485A42">
                <w:r>
                  <w:rPr>
                    <w:i/>
                  </w:rPr>
                  <w:t xml:space="preserve">Moses Migrating </w:t>
                </w:r>
                <w:r>
                  <w:t>(1983)</w:t>
                </w:r>
              </w:p>
              <w:p w14:paraId="565579E2" w14:textId="77777777" w:rsidR="00485A42" w:rsidRPr="004122E4" w:rsidRDefault="00485A42" w:rsidP="00485A42">
                <w:r>
                  <w:rPr>
                    <w:i/>
                  </w:rPr>
                  <w:t xml:space="preserve">Eldorado West One </w:t>
                </w:r>
                <w:r>
                  <w:t>(1988)</w:t>
                </w:r>
              </w:p>
              <w:p w14:paraId="2831B93B" w14:textId="77777777" w:rsidR="00485A42" w:rsidRDefault="00485A42" w:rsidP="00485A42">
                <w:proofErr w:type="spellStart"/>
                <w:r>
                  <w:rPr>
                    <w:i/>
                  </w:rPr>
                  <w:t>Foreday</w:t>
                </w:r>
                <w:proofErr w:type="spellEnd"/>
                <w:r>
                  <w:rPr>
                    <w:i/>
                  </w:rPr>
                  <w:t xml:space="preserve"> Morning: Selected Prose 1946-1986 </w:t>
                </w:r>
                <w:r>
                  <w:t>(1989)</w:t>
                </w:r>
              </w:p>
              <w:p w14:paraId="169BD604" w14:textId="77777777" w:rsidR="003F0D73" w:rsidRDefault="00485A42" w:rsidP="00485A42">
                <w:r>
                  <w:rPr>
                    <w:i/>
                  </w:rPr>
                  <w:t xml:space="preserve">Highway in the Sun and Other Plays </w:t>
                </w:r>
                <w:r>
                  <w:t>(1991)</w:t>
                </w:r>
              </w:p>
            </w:tc>
          </w:sdtContent>
        </w:sdt>
      </w:tr>
      <w:tr w:rsidR="003235A7" w14:paraId="27FB0C76" w14:textId="77777777" w:rsidTr="003235A7">
        <w:tc>
          <w:tcPr>
            <w:tcW w:w="9016" w:type="dxa"/>
          </w:tcPr>
          <w:p w14:paraId="61C8458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2D9AD04ACDD864A821BEB23A6452E1B"/>
              </w:placeholder>
            </w:sdtPr>
            <w:sdtEndPr/>
            <w:sdtContent>
              <w:p w14:paraId="4EC712CE" w14:textId="77777777" w:rsidR="007E5424" w:rsidRDefault="00485A42" w:rsidP="00FB11DE">
                <w:r>
                  <w:t xml:space="preserve"> </w:t>
                </w:r>
                <w:sdt>
                  <w:sdtPr>
                    <w:id w:val="840275806"/>
                    <w:citation/>
                  </w:sdtPr>
                  <w:sdtEndPr/>
                  <w:sdtContent>
                    <w:r w:rsidR="007E5424">
                      <w:fldChar w:fldCharType="begin"/>
                    </w:r>
                    <w:r w:rsidR="007E5424">
                      <w:rPr>
                        <w:lang w:val="en-US"/>
                      </w:rPr>
                      <w:instrText xml:space="preserve"> CITATION Daw07 \l 1033 </w:instrText>
                    </w:r>
                    <w:r w:rsidR="007E5424">
                      <w:fldChar w:fldCharType="separate"/>
                    </w:r>
                    <w:r w:rsidR="007E5424">
                      <w:rPr>
                        <w:noProof/>
                        <w:lang w:val="en-US"/>
                      </w:rPr>
                      <w:t>(Dawson)</w:t>
                    </w:r>
                    <w:r w:rsidR="007E5424">
                      <w:fldChar w:fldCharType="end"/>
                    </w:r>
                  </w:sdtContent>
                </w:sdt>
              </w:p>
              <w:p w14:paraId="4F84BA25" w14:textId="77777777" w:rsidR="007E5424" w:rsidRDefault="005E0730" w:rsidP="00FB11DE">
                <w:sdt>
                  <w:sdtPr>
                    <w:id w:val="-1979372290"/>
                    <w:citation/>
                  </w:sdtPr>
                  <w:sdtEndPr/>
                  <w:sdtContent>
                    <w:r w:rsidR="007E5424">
                      <w:fldChar w:fldCharType="begin"/>
                    </w:r>
                    <w:r w:rsidR="007E5424">
                      <w:rPr>
                        <w:lang w:val="en-US"/>
                      </w:rPr>
                      <w:instrText xml:space="preserve"> CITATION Gik92 \l 1033 </w:instrText>
                    </w:r>
                    <w:r w:rsidR="007E5424">
                      <w:fldChar w:fldCharType="separate"/>
                    </w:r>
                    <w:r w:rsidR="007E5424">
                      <w:rPr>
                        <w:noProof/>
                        <w:lang w:val="en-US"/>
                      </w:rPr>
                      <w:t>(Gikandi)</w:t>
                    </w:r>
                    <w:r w:rsidR="007E5424">
                      <w:fldChar w:fldCharType="end"/>
                    </w:r>
                  </w:sdtContent>
                </w:sdt>
              </w:p>
              <w:p w14:paraId="66FDB58F" w14:textId="77777777" w:rsidR="007E5424" w:rsidRDefault="005E0730" w:rsidP="00FB11DE">
                <w:sdt>
                  <w:sdtPr>
                    <w:id w:val="2002694394"/>
                    <w:citation/>
                  </w:sdtPr>
                  <w:sdtEndPr/>
                  <w:sdtContent>
                    <w:r w:rsidR="007E5424">
                      <w:fldChar w:fldCharType="begin"/>
                    </w:r>
                    <w:r w:rsidR="007E5424">
                      <w:rPr>
                        <w:lang w:val="en-US"/>
                      </w:rPr>
                      <w:instrText xml:space="preserve"> CITATION McG96 \l 1033 </w:instrText>
                    </w:r>
                    <w:r w:rsidR="007E5424">
                      <w:fldChar w:fldCharType="separate"/>
                    </w:r>
                    <w:r w:rsidR="007E5424">
                      <w:rPr>
                        <w:noProof/>
                        <w:lang w:val="en-US"/>
                      </w:rPr>
                      <w:t>(McGoogan)</w:t>
                    </w:r>
                    <w:r w:rsidR="007E5424">
                      <w:fldChar w:fldCharType="end"/>
                    </w:r>
                  </w:sdtContent>
                </w:sdt>
              </w:p>
              <w:p w14:paraId="43C17408" w14:textId="77777777" w:rsidR="007E5424" w:rsidRDefault="005E0730" w:rsidP="00FB11DE">
                <w:sdt>
                  <w:sdtPr>
                    <w:id w:val="-491871475"/>
                    <w:citation/>
                  </w:sdtPr>
                  <w:sdtEndPr/>
                  <w:sdtContent>
                    <w:r w:rsidR="007E5424">
                      <w:fldChar w:fldCharType="begin"/>
                    </w:r>
                    <w:r w:rsidR="007E5424">
                      <w:rPr>
                        <w:lang w:val="en-US"/>
                      </w:rPr>
                      <w:instrText xml:space="preserve"> CITATION Nas88 \l 1033 </w:instrText>
                    </w:r>
                    <w:r w:rsidR="007E5424">
                      <w:fldChar w:fldCharType="separate"/>
                    </w:r>
                    <w:r w:rsidR="007E5424">
                      <w:rPr>
                        <w:noProof/>
                        <w:lang w:val="en-US"/>
                      </w:rPr>
                      <w:t>(Nasta)</w:t>
                    </w:r>
                    <w:r w:rsidR="007E5424">
                      <w:fldChar w:fldCharType="end"/>
                    </w:r>
                  </w:sdtContent>
                </w:sdt>
              </w:p>
              <w:p w14:paraId="55E75D81" w14:textId="3283D9DB" w:rsidR="003235A7" w:rsidRDefault="005E0730" w:rsidP="00FB11DE">
                <w:sdt>
                  <w:sdtPr>
                    <w:id w:val="-164324978"/>
                    <w:citation/>
                  </w:sdtPr>
                  <w:sdtEndPr/>
                  <w:sdtContent>
                    <w:r w:rsidR="007E5424">
                      <w:fldChar w:fldCharType="begin"/>
                    </w:r>
                    <w:r w:rsidR="007E5424">
                      <w:rPr>
                        <w:lang w:val="en-US"/>
                      </w:rPr>
                      <w:instrText xml:space="preserve"> CITATION Pro03 \l 1033 </w:instrText>
                    </w:r>
                    <w:r w:rsidR="007E5424">
                      <w:fldChar w:fldCharType="separate"/>
                    </w:r>
                    <w:r w:rsidR="007E5424">
                      <w:rPr>
                        <w:noProof/>
                        <w:lang w:val="en-US"/>
                      </w:rPr>
                      <w:t>(Procter)</w:t>
                    </w:r>
                    <w:r w:rsidR="007E5424">
                      <w:fldChar w:fldCharType="end"/>
                    </w:r>
                  </w:sdtContent>
                </w:sdt>
              </w:p>
            </w:sdtContent>
          </w:sdt>
        </w:tc>
      </w:tr>
    </w:tbl>
    <w:p w14:paraId="6519C23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F639C" w14:textId="77777777" w:rsidR="00D05E83" w:rsidRDefault="00D05E83" w:rsidP="007A0D55">
      <w:pPr>
        <w:spacing w:after="0" w:line="240" w:lineRule="auto"/>
      </w:pPr>
      <w:r>
        <w:separator/>
      </w:r>
    </w:p>
  </w:endnote>
  <w:endnote w:type="continuationSeparator" w:id="0">
    <w:p w14:paraId="19F912A1" w14:textId="77777777" w:rsidR="00D05E83" w:rsidRDefault="00D05E8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D80EB" w14:textId="77777777" w:rsidR="00D05E83" w:rsidRDefault="00D05E83" w:rsidP="007A0D55">
      <w:pPr>
        <w:spacing w:after="0" w:line="240" w:lineRule="auto"/>
      </w:pPr>
      <w:r>
        <w:separator/>
      </w:r>
    </w:p>
  </w:footnote>
  <w:footnote w:type="continuationSeparator" w:id="0">
    <w:p w14:paraId="1A6AFDDE" w14:textId="77777777" w:rsidR="00D05E83" w:rsidRDefault="00D05E8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20E5E" w14:textId="77777777" w:rsidR="00D05E83" w:rsidRDefault="00D05E8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68DF941" w14:textId="77777777" w:rsidR="00D05E83" w:rsidRDefault="00D05E8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42"/>
    <w:rsid w:val="00032559"/>
    <w:rsid w:val="00052040"/>
    <w:rsid w:val="000B25AE"/>
    <w:rsid w:val="000B55AB"/>
    <w:rsid w:val="000D24DC"/>
    <w:rsid w:val="00101B2E"/>
    <w:rsid w:val="00116FA0"/>
    <w:rsid w:val="0015114C"/>
    <w:rsid w:val="00155E47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902DB"/>
    <w:rsid w:val="002A0A0D"/>
    <w:rsid w:val="002B0B37"/>
    <w:rsid w:val="0030662D"/>
    <w:rsid w:val="003235A7"/>
    <w:rsid w:val="003677B6"/>
    <w:rsid w:val="003D3579"/>
    <w:rsid w:val="003D7B1B"/>
    <w:rsid w:val="003E2795"/>
    <w:rsid w:val="003F0D73"/>
    <w:rsid w:val="00417EA9"/>
    <w:rsid w:val="00462DBE"/>
    <w:rsid w:val="00464699"/>
    <w:rsid w:val="00483379"/>
    <w:rsid w:val="00485A42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0730"/>
    <w:rsid w:val="005F26D7"/>
    <w:rsid w:val="005F5450"/>
    <w:rsid w:val="006D0412"/>
    <w:rsid w:val="007411B9"/>
    <w:rsid w:val="00780D95"/>
    <w:rsid w:val="00780DC7"/>
    <w:rsid w:val="007A0D55"/>
    <w:rsid w:val="007B3377"/>
    <w:rsid w:val="007E5424"/>
    <w:rsid w:val="007E5F44"/>
    <w:rsid w:val="00821DE3"/>
    <w:rsid w:val="00846CE1"/>
    <w:rsid w:val="008A5B87"/>
    <w:rsid w:val="008D4E27"/>
    <w:rsid w:val="00922950"/>
    <w:rsid w:val="009A7264"/>
    <w:rsid w:val="009D1606"/>
    <w:rsid w:val="009E18A1"/>
    <w:rsid w:val="009E73D7"/>
    <w:rsid w:val="00A2397E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BF48A2"/>
    <w:rsid w:val="00C27FAB"/>
    <w:rsid w:val="00C358D4"/>
    <w:rsid w:val="00C6296B"/>
    <w:rsid w:val="00CC586D"/>
    <w:rsid w:val="00CF1542"/>
    <w:rsid w:val="00CF3EC5"/>
    <w:rsid w:val="00D05E83"/>
    <w:rsid w:val="00D656DA"/>
    <w:rsid w:val="00D83300"/>
    <w:rsid w:val="00D96F98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8526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85A4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A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85A4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A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E36218D3559145AD74E91FDFCB6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3DA75-2986-484C-B833-7BA148A43437}"/>
      </w:docPartPr>
      <w:docPartBody>
        <w:p w:rsidR="00A755B4" w:rsidRDefault="00A755B4">
          <w:pPr>
            <w:pStyle w:val="ECE36218D3559145AD74E91FDFCB6A9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2FB23F3E82D0C4D87AA659C7133D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ED7F6-D9DE-ED40-AAEC-BBEEE5EEC0A1}"/>
      </w:docPartPr>
      <w:docPartBody>
        <w:p w:rsidR="00A755B4" w:rsidRDefault="00A755B4">
          <w:pPr>
            <w:pStyle w:val="A2FB23F3E82D0C4D87AA659C7133DAC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D4ECA203E22474BA25DDAA583938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D0F7C-5E4F-7548-8F6E-119E967A3746}"/>
      </w:docPartPr>
      <w:docPartBody>
        <w:p w:rsidR="00A755B4" w:rsidRDefault="00A755B4">
          <w:pPr>
            <w:pStyle w:val="BD4ECA203E22474BA25DDAA5839381C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C358788DD216943A0B8C8C0C192E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06CB6-A60A-194E-B428-EDE3E37AEC31}"/>
      </w:docPartPr>
      <w:docPartBody>
        <w:p w:rsidR="00A755B4" w:rsidRDefault="00A755B4">
          <w:pPr>
            <w:pStyle w:val="5C358788DD216943A0B8C8C0C192E3C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BC832DD805E96409BAD6C275EC6A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95C89-FE33-3548-BFFF-0D9BFBA6EA27}"/>
      </w:docPartPr>
      <w:docPartBody>
        <w:p w:rsidR="00A755B4" w:rsidRDefault="00A755B4">
          <w:pPr>
            <w:pStyle w:val="EBC832DD805E96409BAD6C275EC6A7B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2AD2862A3C00C458AED5952335AF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8DBDD-F090-3149-A0D5-968B81CC4C06}"/>
      </w:docPartPr>
      <w:docPartBody>
        <w:p w:rsidR="00A755B4" w:rsidRDefault="00A755B4">
          <w:pPr>
            <w:pStyle w:val="E2AD2862A3C00C458AED5952335AF80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79798340D1A5545B7F0318D0C1B5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9E6BC-E380-B640-AD99-D6ADEDFF0F5B}"/>
      </w:docPartPr>
      <w:docPartBody>
        <w:p w:rsidR="00A755B4" w:rsidRDefault="00A755B4">
          <w:pPr>
            <w:pStyle w:val="F79798340D1A5545B7F0318D0C1B5E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CCB00FF80BDF5499E2935A1C7139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B57C6-4768-1346-9132-06A0F3DD5249}"/>
      </w:docPartPr>
      <w:docPartBody>
        <w:p w:rsidR="00A755B4" w:rsidRDefault="00A755B4">
          <w:pPr>
            <w:pStyle w:val="ACCB00FF80BDF5499E2935A1C7139EC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2EC9645113EC74DAB78E10DC2482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9750A-1FB5-2247-9A72-1A2726A32DE5}"/>
      </w:docPartPr>
      <w:docPartBody>
        <w:p w:rsidR="00A755B4" w:rsidRDefault="00A755B4">
          <w:pPr>
            <w:pStyle w:val="22EC9645113EC74DAB78E10DC24821E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5F291323204584BAED903DF5D092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385A3-BF4F-5348-B42B-3764FC3C0830}"/>
      </w:docPartPr>
      <w:docPartBody>
        <w:p w:rsidR="00A755B4" w:rsidRDefault="00A755B4">
          <w:pPr>
            <w:pStyle w:val="E5F291323204584BAED903DF5D09263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2D9AD04ACDD864A821BEB23A6452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BCB9E-92B0-1140-B704-59C558340C03}"/>
      </w:docPartPr>
      <w:docPartBody>
        <w:p w:rsidR="00A755B4" w:rsidRDefault="00A755B4">
          <w:pPr>
            <w:pStyle w:val="02D9AD04ACDD864A821BEB23A6452E1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B4"/>
    <w:rsid w:val="00A755B4"/>
    <w:rsid w:val="00D2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CE36218D3559145AD74E91FDFCB6A96">
    <w:name w:val="ECE36218D3559145AD74E91FDFCB6A96"/>
  </w:style>
  <w:style w:type="paragraph" w:customStyle="1" w:styleId="A2FB23F3E82D0C4D87AA659C7133DAC4">
    <w:name w:val="A2FB23F3E82D0C4D87AA659C7133DAC4"/>
  </w:style>
  <w:style w:type="paragraph" w:customStyle="1" w:styleId="BD4ECA203E22474BA25DDAA5839381C8">
    <w:name w:val="BD4ECA203E22474BA25DDAA5839381C8"/>
  </w:style>
  <w:style w:type="paragraph" w:customStyle="1" w:styleId="5C358788DD216943A0B8C8C0C192E3C3">
    <w:name w:val="5C358788DD216943A0B8C8C0C192E3C3"/>
  </w:style>
  <w:style w:type="paragraph" w:customStyle="1" w:styleId="EBC832DD805E96409BAD6C275EC6A7B5">
    <w:name w:val="EBC832DD805E96409BAD6C275EC6A7B5"/>
  </w:style>
  <w:style w:type="paragraph" w:customStyle="1" w:styleId="E2AD2862A3C00C458AED5952335AF80C">
    <w:name w:val="E2AD2862A3C00C458AED5952335AF80C"/>
  </w:style>
  <w:style w:type="paragraph" w:customStyle="1" w:styleId="F79798340D1A5545B7F0318D0C1B5E89">
    <w:name w:val="F79798340D1A5545B7F0318D0C1B5E89"/>
  </w:style>
  <w:style w:type="paragraph" w:customStyle="1" w:styleId="ACCB00FF80BDF5499E2935A1C7139ECC">
    <w:name w:val="ACCB00FF80BDF5499E2935A1C7139ECC"/>
  </w:style>
  <w:style w:type="paragraph" w:customStyle="1" w:styleId="22EC9645113EC74DAB78E10DC24821E2">
    <w:name w:val="22EC9645113EC74DAB78E10DC24821E2"/>
  </w:style>
  <w:style w:type="paragraph" w:customStyle="1" w:styleId="E5F291323204584BAED903DF5D09263D">
    <w:name w:val="E5F291323204584BAED903DF5D09263D"/>
  </w:style>
  <w:style w:type="paragraph" w:customStyle="1" w:styleId="02D9AD04ACDD864A821BEB23A6452E1B">
    <w:name w:val="02D9AD04ACDD864A821BEB23A6452E1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CE36218D3559145AD74E91FDFCB6A96">
    <w:name w:val="ECE36218D3559145AD74E91FDFCB6A96"/>
  </w:style>
  <w:style w:type="paragraph" w:customStyle="1" w:styleId="A2FB23F3E82D0C4D87AA659C7133DAC4">
    <w:name w:val="A2FB23F3E82D0C4D87AA659C7133DAC4"/>
  </w:style>
  <w:style w:type="paragraph" w:customStyle="1" w:styleId="BD4ECA203E22474BA25DDAA5839381C8">
    <w:name w:val="BD4ECA203E22474BA25DDAA5839381C8"/>
  </w:style>
  <w:style w:type="paragraph" w:customStyle="1" w:styleId="5C358788DD216943A0B8C8C0C192E3C3">
    <w:name w:val="5C358788DD216943A0B8C8C0C192E3C3"/>
  </w:style>
  <w:style w:type="paragraph" w:customStyle="1" w:styleId="EBC832DD805E96409BAD6C275EC6A7B5">
    <w:name w:val="EBC832DD805E96409BAD6C275EC6A7B5"/>
  </w:style>
  <w:style w:type="paragraph" w:customStyle="1" w:styleId="E2AD2862A3C00C458AED5952335AF80C">
    <w:name w:val="E2AD2862A3C00C458AED5952335AF80C"/>
  </w:style>
  <w:style w:type="paragraph" w:customStyle="1" w:styleId="F79798340D1A5545B7F0318D0C1B5E89">
    <w:name w:val="F79798340D1A5545B7F0318D0C1B5E89"/>
  </w:style>
  <w:style w:type="paragraph" w:customStyle="1" w:styleId="ACCB00FF80BDF5499E2935A1C7139ECC">
    <w:name w:val="ACCB00FF80BDF5499E2935A1C7139ECC"/>
  </w:style>
  <w:style w:type="paragraph" w:customStyle="1" w:styleId="22EC9645113EC74DAB78E10DC24821E2">
    <w:name w:val="22EC9645113EC74DAB78E10DC24821E2"/>
  </w:style>
  <w:style w:type="paragraph" w:customStyle="1" w:styleId="E5F291323204584BAED903DF5D09263D">
    <w:name w:val="E5F291323204584BAED903DF5D09263D"/>
  </w:style>
  <w:style w:type="paragraph" w:customStyle="1" w:styleId="02D9AD04ACDD864A821BEB23A6452E1B">
    <w:name w:val="02D9AD04ACDD864A821BEB23A6452E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Daw07</b:Tag>
    <b:SourceType>Book</b:SourceType>
    <b:Guid>{2959957E-C5FE-A443-A808-07AD6822D722}</b:Guid>
    <b:Title>Mongrel Nation: Diasporic Culture and the Making of Postcolonial Britain</b:Title>
    <b:City>Ann Arbor</b:City>
    <b:Publisher>Michigan UP</b:Publisher>
    <b:Year>2007</b:Year>
    <b:Author>
      <b:Author>
        <b:NameList>
          <b:Person>
            <b:Last>Dawson</b:Last>
            <b:First>Ashley</b:First>
          </b:Person>
        </b:NameList>
      </b:Author>
    </b:Author>
    <b:RefOrder>1</b:RefOrder>
  </b:Source>
  <b:Source>
    <b:Tag>Gik92</b:Tag>
    <b:SourceType>Book</b:SourceType>
    <b:Guid>{A4831DDF-585A-E84A-816F-13EE35E72CEA}</b:Guid>
    <b:Title>Writing in Limbo: Modernism and Caribbean Literature</b:Title>
    <b:City>Ithaca</b:City>
    <b:Publisher>Cornell UP</b:Publisher>
    <b:Year>1992</b:Year>
    <b:Author>
      <b:Author>
        <b:NameList>
          <b:Person>
            <b:Last>Gikandi</b:Last>
            <b:First>Simon</b:First>
          </b:Person>
        </b:NameList>
      </b:Author>
    </b:Author>
    <b:RefOrder>2</b:RefOrder>
  </b:Source>
  <b:Source>
    <b:Tag>McG96</b:Tag>
    <b:SourceType>JournalArticle</b:SourceType>
    <b:Guid>{3D6723F6-839C-0F4D-8E8F-BD57A1876C38}</b:Guid>
    <b:Title>Saying Goodbey to Sam Selvon</b:Title>
    <b:Year>1996</b:Year>
    <b:Volume>27</b:Volume>
    <b:Pages>65-75</b:Pages>
    <b:Author>
      <b:Author>
        <b:NameList>
          <b:Person>
            <b:Last>McGoogan</b:Last>
            <b:First>Ken</b:First>
          </b:Person>
        </b:NameList>
      </b:Author>
    </b:Author>
    <b:JournalName>Ariel</b:JournalName>
    <b:Issue>2</b:Issue>
    <b:RefOrder>3</b:RefOrder>
  </b:Source>
  <b:Source>
    <b:Tag>Nas88</b:Tag>
    <b:SourceType>Book</b:SourceType>
    <b:Guid>{C429ADDE-38C7-664D-8309-1BDCD32006BA}</b:Guid>
    <b:Title>Critical Perspectives on Sam Selvon</b:Title>
    <b:Publisher>Three Continents Press</b:Publisher>
    <b:City>Washington D.C. </b:City>
    <b:Year>1988</b:Year>
    <b:Author>
      <b:Author>
        <b:NameList>
          <b:Person>
            <b:Last>Nasta</b:Last>
            <b:First>Susheila</b:First>
          </b:Person>
        </b:NameList>
      </b:Author>
    </b:Author>
    <b:RefOrder>4</b:RefOrder>
  </b:Source>
  <b:Source>
    <b:Tag>Pro03</b:Tag>
    <b:SourceType>Book</b:SourceType>
    <b:Guid>{006BC1F1-F720-9148-BFC9-42F96216F3A7}</b:Guid>
    <b:Title>Dwelling Places: Postwar Black British Writing</b:Title>
    <b:City>Manchester</b:City>
    <b:Publisher>Manchester UP</b:Publisher>
    <b:Year>2003</b:Year>
    <b:Author>
      <b:Author>
        <b:NameList>
          <b:Person>
            <b:Last>Procter</b:Last>
            <b:First>James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5F8B2D56-F204-8642-89CB-AFD2ECAB3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3</Pages>
  <Words>948</Words>
  <Characters>5408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2015-02-28T02:19:00Z</dcterms:created>
  <dcterms:modified xsi:type="dcterms:W3CDTF">2015-02-28T02:19:00Z</dcterms:modified>
</cp:coreProperties>
</file>