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8FABBE7DA1DBA4F87B581A2B490495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F2589F06ABAC443A07A17CF18CDEFC4"/>
            </w:placeholder>
            <w:text/>
          </w:sdtPr>
          <w:sdtContent>
            <w:tc>
              <w:tcPr>
                <w:tcW w:w="2073" w:type="dxa"/>
              </w:tcPr>
              <w:p w:rsidR="00B574C9" w:rsidRDefault="00116839" w:rsidP="00116839">
                <w:r w:rsidRPr="00616D17">
                  <w:rPr>
                    <w:lang w:val="en-CA" w:eastAsia="ja-JP"/>
                  </w:rPr>
                  <w:t>Richard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9708E914839F84D8A88774CC688D1A9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CAB1EF3D455A04C96CCA4EEF94B972D"/>
            </w:placeholder>
            <w:text/>
          </w:sdtPr>
          <w:sdtContent>
            <w:tc>
              <w:tcPr>
                <w:tcW w:w="2642" w:type="dxa"/>
              </w:tcPr>
              <w:p w:rsidR="00B574C9" w:rsidRDefault="00116839" w:rsidP="00116839">
                <w:proofErr w:type="spellStart"/>
                <w:r w:rsidRPr="00AA7CA9">
                  <w:rPr>
                    <w:lang w:val="en-CA" w:eastAsia="ja-JP"/>
                  </w:rPr>
                  <w:t>Leskosky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DDD7E9E1B3B634686AFAB04CFAD89D5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359735FC442524989B4CBEA2150A24F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116839" w:rsidRDefault="00116839" w:rsidP="00116839">
                <w:r w:rsidRPr="00426899">
                  <w:rPr>
                    <w:lang w:val="en-CA" w:eastAsia="ja-JP"/>
                  </w:rPr>
                  <w:t xml:space="preserve">University of </w:t>
                </w:r>
                <w:r w:rsidR="004F549D" w:rsidRPr="00426899">
                  <w:rPr>
                    <w:lang w:val="en-CA" w:eastAsia="ja-JP"/>
                  </w:rPr>
                  <w:t>Illinois</w:t>
                </w:r>
                <w:r w:rsidRPr="00426899">
                  <w:rPr>
                    <w:lang w:val="en-CA" w:eastAsia="ja-JP"/>
                  </w:rPr>
                  <w:t xml:space="preserve"> at Urbana-Champaign</w:t>
                </w:r>
              </w:p>
              <w:p w:rsidR="00B574C9" w:rsidRPr="00116839" w:rsidRDefault="00116839" w:rsidP="00116839">
                <w:r>
                  <w:tab/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DAAE7431279E3D4C810969BD738A81C6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116839" w:rsidP="00116839">
                <w:r w:rsidRPr="001A3D4A">
                  <w:rPr>
                    <w:lang w:val="en-US"/>
                  </w:rPr>
                  <w:t>Jones, Chuck (1912-2002)</w:t>
                </w:r>
              </w:p>
            </w:tc>
          </w:sdtContent>
        </w:sdt>
      </w:tr>
      <w:tr w:rsidR="00464699" w:rsidTr="00DF51C1">
        <w:sdt>
          <w:sdtPr>
            <w:alias w:val="Variant headwords"/>
            <w:tag w:val="variantHeadwords"/>
            <w:id w:val="173464402"/>
            <w:placeholder>
              <w:docPart w:val="73756AA1561AD14BAB86574E55009CAD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A9D85E746E24BE4B9546FAAA3C48F991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A12BD" w:rsidRDefault="004A12BD" w:rsidP="004A12BD">
                <w:r>
                  <w:t xml:space="preserve">Cartoon director Charles Martin ‘Chuck’ Jones studied drawing at Los Angeles’ </w:t>
                </w:r>
                <w:proofErr w:type="spellStart"/>
                <w:r>
                  <w:t>Chouinard</w:t>
                </w:r>
                <w:proofErr w:type="spellEnd"/>
                <w:r>
                  <w:t xml:space="preserve"> Art Institute. Briefly working for </w:t>
                </w:r>
                <w:proofErr w:type="spellStart"/>
                <w:r>
                  <w:t>Ub</w:t>
                </w:r>
                <w:proofErr w:type="spellEnd"/>
                <w:r>
                  <w:t xml:space="preserve"> </w:t>
                </w:r>
                <w:proofErr w:type="spellStart"/>
                <w:r>
                  <w:t>Iwerks</w:t>
                </w:r>
                <w:proofErr w:type="spellEnd"/>
                <w:r>
                  <w:t xml:space="preserve"> and Walter Lantz before becoming an animator at Leon Schlesinger/Warner Bros. studio in 1933, Jones was promoted to director in 1937 and was later instrumental in unionizing the Schlesinger animators in 1941. </w:t>
                </w:r>
              </w:p>
              <w:p w:rsidR="004A12BD" w:rsidRDefault="004A12BD" w:rsidP="004A12BD"/>
              <w:p w:rsidR="00E85A05" w:rsidRPr="004E3579" w:rsidRDefault="004A12BD" w:rsidP="004A12BD">
                <w:pPr>
                  <w:rPr>
                    <w:lang w:val="en-US"/>
                  </w:rPr>
                </w:pPr>
                <w:r>
                  <w:t xml:space="preserve">While best known for creating the characters of Road Runner, Wile E. Coyote, and the romantic Skunk </w:t>
                </w:r>
                <w:proofErr w:type="spellStart"/>
                <w:r>
                  <w:t>Pépé</w:t>
                </w:r>
                <w:proofErr w:type="spellEnd"/>
                <w:r>
                  <w:t xml:space="preserve"> </w:t>
                </w:r>
                <w:proofErr w:type="spellStart"/>
                <w:r>
                  <w:t>LePew</w:t>
                </w:r>
                <w:proofErr w:type="spellEnd"/>
                <w:r>
                  <w:t xml:space="preserve">, Jones also helped to develop the characters of Bugs Bunny, Daffy Duck, and Porky Pig. </w:t>
                </w:r>
                <w:r w:rsidRPr="00116839">
                  <w:rPr>
                    <w:lang w:val="en-US"/>
                  </w:rPr>
                  <w:t xml:space="preserve">He directed campaign film </w:t>
                </w:r>
                <w:r w:rsidRPr="00116839">
                  <w:rPr>
                    <w:i/>
                    <w:lang w:val="en-US"/>
                  </w:rPr>
                  <w:t>Hell-Bent for Election</w:t>
                </w:r>
                <w:r w:rsidRPr="00116839">
                  <w:rPr>
                    <w:lang w:val="en-US"/>
                  </w:rPr>
                  <w:t xml:space="preserve"> (1944) f</w:t>
                </w:r>
                <w:r w:rsidR="000B7794">
                  <w:rPr>
                    <w:lang w:val="en-US"/>
                  </w:rPr>
                  <w:t>or Industrial Films (later UPA), and</w:t>
                </w:r>
                <w:r w:rsidRPr="00116839">
                  <w:rPr>
                    <w:lang w:val="en-US"/>
                  </w:rPr>
                  <w:t xml:space="preserve"> anticipated the UPA’s influential modernistic developments with Matisse-inspired backgrounds in </w:t>
                </w:r>
                <w:r w:rsidRPr="00116839">
                  <w:rPr>
                    <w:i/>
                    <w:lang w:val="en-US"/>
                  </w:rPr>
                  <w:t>Hold the Lion, Please!</w:t>
                </w:r>
                <w:r w:rsidRPr="00116839">
                  <w:rPr>
                    <w:lang w:val="en-US"/>
                  </w:rPr>
                  <w:t xml:space="preserve"> (1942); abstract, expressive backgrounds in </w:t>
                </w:r>
                <w:r w:rsidRPr="00116839">
                  <w:rPr>
                    <w:i/>
                    <w:lang w:val="en-US"/>
                  </w:rPr>
                  <w:t>The Aristo Cat</w:t>
                </w:r>
                <w:r>
                  <w:rPr>
                    <w:lang w:val="en-US"/>
                  </w:rPr>
                  <w:t xml:space="preserve"> (</w:t>
                </w:r>
                <w:r w:rsidRPr="00116839">
                  <w:rPr>
                    <w:lang w:val="en-US"/>
                  </w:rPr>
                  <w:t xml:space="preserve">1943); and limited animation and stylized characters in </w:t>
                </w:r>
                <w:r w:rsidRPr="00116839">
                  <w:rPr>
                    <w:i/>
                    <w:lang w:val="en-US"/>
                  </w:rPr>
                  <w:t>The Dover Boys</w:t>
                </w:r>
                <w:r w:rsidR="000B7794">
                  <w:rPr>
                    <w:lang w:val="en-US"/>
                  </w:rPr>
                  <w:t xml:space="preserve"> (1942). </w:t>
                </w:r>
                <w:r w:rsidRPr="00116839">
                  <w:rPr>
                    <w:lang w:val="en-US"/>
                  </w:rPr>
                  <w:t xml:space="preserve">His 1950s and 1960s cartoons regularly featured layout artist Maurice Noble’s abstract and/or surreal backgrounds. The Roadrunner cartoons’ desert landscapes accented the absurdity of hapless Coyote’s inventions and misadventures, and surrealism permeated </w:t>
                </w:r>
                <w:r w:rsidRPr="00116839">
                  <w:rPr>
                    <w:i/>
                    <w:lang w:val="en-US"/>
                  </w:rPr>
                  <w:t>Duck Amuck</w:t>
                </w:r>
                <w:r w:rsidRPr="00116839">
                  <w:rPr>
                    <w:lang w:val="en-US"/>
                  </w:rPr>
                  <w:t xml:space="preserve"> (1953), </w:t>
                </w:r>
                <w:r w:rsidRPr="00116839">
                  <w:rPr>
                    <w:i/>
                    <w:lang w:val="en-US"/>
                  </w:rPr>
                  <w:t>Rabbit Rampage</w:t>
                </w:r>
                <w:r w:rsidRPr="00116839">
                  <w:rPr>
                    <w:lang w:val="en-US"/>
                  </w:rPr>
                  <w:t xml:space="preserve"> (1955), and </w:t>
                </w:r>
                <w:r w:rsidRPr="00116839">
                  <w:rPr>
                    <w:i/>
                    <w:lang w:val="en-US"/>
                  </w:rPr>
                  <w:t xml:space="preserve">One </w:t>
                </w:r>
                <w:proofErr w:type="spellStart"/>
                <w:r w:rsidRPr="00116839">
                  <w:rPr>
                    <w:i/>
                    <w:lang w:val="en-US"/>
                  </w:rPr>
                  <w:t>Froggy</w:t>
                </w:r>
                <w:proofErr w:type="spellEnd"/>
                <w:r w:rsidRPr="00116839">
                  <w:rPr>
                    <w:i/>
                    <w:lang w:val="en-US"/>
                  </w:rPr>
                  <w:t xml:space="preserve"> Evening</w:t>
                </w:r>
                <w:r w:rsidRPr="00116839">
                  <w:rPr>
                    <w:lang w:val="en-US"/>
                  </w:rPr>
                  <w:t xml:space="preserve"> (1955). </w:t>
                </w:r>
                <w:r w:rsidR="000B7794">
                  <w:rPr>
                    <w:lang w:val="en-US"/>
                  </w:rPr>
                  <w:t>Jones’</w:t>
                </w:r>
                <w:r w:rsidRPr="00116839">
                  <w:rPr>
                    <w:lang w:val="en-US"/>
                  </w:rPr>
                  <w:t xml:space="preserve"> </w:t>
                </w:r>
                <w:r w:rsidRPr="00116839">
                  <w:rPr>
                    <w:i/>
                    <w:lang w:val="en-US"/>
                  </w:rPr>
                  <w:t>High Note</w:t>
                </w:r>
                <w:r w:rsidRPr="00116839">
                  <w:rPr>
                    <w:lang w:val="en-US"/>
                  </w:rPr>
                  <w:t xml:space="preserve"> (1960) and </w:t>
                </w:r>
                <w:r w:rsidRPr="00116839">
                  <w:rPr>
                    <w:i/>
                    <w:lang w:val="en-US"/>
                  </w:rPr>
                  <w:t>The Dot and the Line</w:t>
                </w:r>
                <w:r w:rsidR="004E3579">
                  <w:rPr>
                    <w:lang w:val="en-US"/>
                  </w:rPr>
                  <w:t xml:space="preserve"> </w:t>
                </w:r>
                <w:r w:rsidRPr="00116839">
                  <w:rPr>
                    <w:lang w:val="en-US"/>
                  </w:rPr>
                  <w:t>(1965) featured the most abstract chara</w:t>
                </w:r>
                <w:r>
                  <w:rPr>
                    <w:lang w:val="en-US"/>
                  </w:rPr>
                  <w:t>cters in any Hollywood cartoon</w:t>
                </w:r>
                <w:r w:rsidR="000B7794">
                  <w:rPr>
                    <w:lang w:val="en-US"/>
                  </w:rPr>
                  <w:t>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0F16629E81D9144A98E89D1BBB54B823"/>
            </w:placeholder>
          </w:sdtPr>
          <w:sdtContent>
            <w:sdt>
              <w:sdtPr>
                <w:alias w:val="Abstract"/>
                <w:tag w:val="abstract"/>
                <w:id w:val="-15383282"/>
                <w:placeholder>
                  <w:docPart w:val="6D99502FF20D0D4B917466ED5EC3093E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4E3579" w:rsidRDefault="004E3579" w:rsidP="004E3579">
                    <w:r>
                      <w:t xml:space="preserve">Cartoon director Charles Martin ‘Chuck’ Jones studied drawing at Los Angeles’ </w:t>
                    </w:r>
                    <w:proofErr w:type="spellStart"/>
                    <w:r>
                      <w:t>Chouinard</w:t>
                    </w:r>
                    <w:proofErr w:type="spellEnd"/>
                    <w:r>
                      <w:t xml:space="preserve"> Art Institute. Briefly working for </w:t>
                    </w:r>
                    <w:proofErr w:type="spellStart"/>
                    <w:r>
                      <w:t>Ub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Iwerks</w:t>
                    </w:r>
                    <w:proofErr w:type="spellEnd"/>
                    <w:r>
                      <w:t xml:space="preserve"> and Walter Lantz before becoming an animator at Leon Schlesinger/Warner Bros. studio in 1933, Jones was promoted to director in 1937 and was later instrumental in unionizing the Schlesinger animators in 1941. </w:t>
                    </w:r>
                  </w:p>
                  <w:p w:rsidR="004E3579" w:rsidRDefault="004E3579" w:rsidP="004E3579"/>
                  <w:p w:rsidR="003F0D73" w:rsidRPr="00116839" w:rsidRDefault="004E3579" w:rsidP="004E3579">
                    <w:pPr>
                      <w:rPr>
                        <w:lang w:val="en-US"/>
                      </w:rPr>
                    </w:pPr>
                    <w:r>
                      <w:t xml:space="preserve">While best known for creating the characters of Road Runner, Wile E. Coyote, and the romantic Skunk </w:t>
                    </w:r>
                    <w:proofErr w:type="spellStart"/>
                    <w:r>
                      <w:t>Pépé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LePew</w:t>
                    </w:r>
                    <w:proofErr w:type="spellEnd"/>
                    <w:r>
                      <w:t xml:space="preserve">, Jones also helped to develop the characters of Bugs Bunny, Daffy Duck, and Porky Pig. </w:t>
                    </w:r>
                    <w:r w:rsidRPr="00116839">
                      <w:rPr>
                        <w:lang w:val="en-US"/>
                      </w:rPr>
                      <w:t xml:space="preserve">He directed campaign film </w:t>
                    </w:r>
                    <w:r w:rsidRPr="00116839">
                      <w:rPr>
                        <w:i/>
                        <w:lang w:val="en-US"/>
                      </w:rPr>
                      <w:t>Hell-Bent for Election</w:t>
                    </w:r>
                    <w:r w:rsidRPr="00116839">
                      <w:rPr>
                        <w:lang w:val="en-US"/>
                      </w:rPr>
                      <w:t xml:space="preserve"> (1944) f</w:t>
                    </w:r>
                    <w:r>
                      <w:rPr>
                        <w:lang w:val="en-US"/>
                      </w:rPr>
                      <w:t>or Industrial Films (later UPA), and</w:t>
                    </w:r>
                    <w:r w:rsidRPr="00116839">
                      <w:rPr>
                        <w:lang w:val="en-US"/>
                      </w:rPr>
                      <w:t xml:space="preserve"> anticipated the UPA’s influential modernistic developments with Matisse-inspired backgrounds in </w:t>
                    </w:r>
                    <w:r w:rsidRPr="00116839">
                      <w:rPr>
                        <w:i/>
                        <w:lang w:val="en-US"/>
                      </w:rPr>
                      <w:t>Hold the Lion, Please!</w:t>
                    </w:r>
                    <w:r w:rsidRPr="00116839">
                      <w:rPr>
                        <w:lang w:val="en-US"/>
                      </w:rPr>
                      <w:t xml:space="preserve"> (1942); abstract, expressive backgrounds in </w:t>
                    </w:r>
                    <w:r w:rsidRPr="00116839">
                      <w:rPr>
                        <w:i/>
                        <w:lang w:val="en-US"/>
                      </w:rPr>
                      <w:t>The Aristo Cat</w:t>
                    </w:r>
                    <w:r>
                      <w:rPr>
                        <w:lang w:val="en-US"/>
                      </w:rPr>
                      <w:t xml:space="preserve"> (</w:t>
                    </w:r>
                    <w:r w:rsidRPr="00116839">
                      <w:rPr>
                        <w:lang w:val="en-US"/>
                      </w:rPr>
                      <w:t xml:space="preserve">1943); and limited animation and stylized characters in </w:t>
                    </w:r>
                    <w:r w:rsidRPr="00116839">
                      <w:rPr>
                        <w:i/>
                        <w:lang w:val="en-US"/>
                      </w:rPr>
                      <w:t>The Dover Boys</w:t>
                    </w:r>
                    <w:r>
                      <w:rPr>
                        <w:lang w:val="en-US"/>
                      </w:rPr>
                      <w:t xml:space="preserve"> (1942). </w:t>
                    </w:r>
                    <w:r w:rsidRPr="00116839">
                      <w:rPr>
                        <w:lang w:val="en-US"/>
                      </w:rPr>
                      <w:t xml:space="preserve">His 1950s and 1960s cartoons regularly featured layout artist Maurice Noble’s abstract and/or surreal backgrounds. The Roadrunner cartoons’ desert landscapes accented the absurdity of hapless Coyote’s inventions and misadventures, and surrealism permeated </w:t>
                    </w:r>
                    <w:r w:rsidRPr="00116839">
                      <w:rPr>
                        <w:i/>
                        <w:lang w:val="en-US"/>
                      </w:rPr>
                      <w:t>Duck Amuck</w:t>
                    </w:r>
                    <w:r w:rsidRPr="00116839">
                      <w:rPr>
                        <w:lang w:val="en-US"/>
                      </w:rPr>
                      <w:t xml:space="preserve"> (1953), </w:t>
                    </w:r>
                    <w:r w:rsidRPr="00116839">
                      <w:rPr>
                        <w:i/>
                        <w:lang w:val="en-US"/>
                      </w:rPr>
                      <w:t>Rabbit Rampage</w:t>
                    </w:r>
                    <w:r w:rsidRPr="00116839">
                      <w:rPr>
                        <w:lang w:val="en-US"/>
                      </w:rPr>
                      <w:t xml:space="preserve"> (1955), and </w:t>
                    </w:r>
                    <w:r w:rsidRPr="00116839">
                      <w:rPr>
                        <w:i/>
                        <w:lang w:val="en-US"/>
                      </w:rPr>
                      <w:t xml:space="preserve">One </w:t>
                    </w:r>
                    <w:proofErr w:type="spellStart"/>
                    <w:r w:rsidRPr="00116839">
                      <w:rPr>
                        <w:i/>
                        <w:lang w:val="en-US"/>
                      </w:rPr>
                      <w:t>Froggy</w:t>
                    </w:r>
                    <w:proofErr w:type="spellEnd"/>
                    <w:r w:rsidRPr="00116839">
                      <w:rPr>
                        <w:i/>
                        <w:lang w:val="en-US"/>
                      </w:rPr>
                      <w:t xml:space="preserve"> Evening</w:t>
                    </w:r>
                    <w:r w:rsidRPr="00116839">
                      <w:rPr>
                        <w:lang w:val="en-US"/>
                      </w:rPr>
                      <w:t xml:space="preserve"> (1955). </w:t>
                    </w:r>
                    <w:r>
                      <w:rPr>
                        <w:lang w:val="en-US"/>
                      </w:rPr>
                      <w:t>Jones’</w:t>
                    </w:r>
                    <w:r w:rsidRPr="00116839">
                      <w:rPr>
                        <w:lang w:val="en-US"/>
                      </w:rPr>
                      <w:t xml:space="preserve"> </w:t>
                    </w:r>
                    <w:r w:rsidRPr="00116839">
                      <w:rPr>
                        <w:i/>
                        <w:lang w:val="en-US"/>
                      </w:rPr>
                      <w:t>High Note</w:t>
                    </w:r>
                    <w:r w:rsidRPr="00116839">
                      <w:rPr>
                        <w:lang w:val="en-US"/>
                      </w:rPr>
                      <w:t xml:space="preserve"> (1960) and </w:t>
                    </w:r>
                    <w:r w:rsidRPr="00116839">
                      <w:rPr>
                        <w:i/>
                        <w:lang w:val="en-US"/>
                      </w:rPr>
                      <w:t>The Dot and the Line</w:t>
                    </w:r>
                    <w:r>
                      <w:rPr>
                        <w:lang w:val="en-US"/>
                      </w:rPr>
                      <w:t xml:space="preserve"> </w:t>
                    </w:r>
                    <w:r w:rsidRPr="00116839">
                      <w:rPr>
                        <w:lang w:val="en-US"/>
                      </w:rPr>
                      <w:t>(1965) featured the most abstract chara</w:t>
                    </w:r>
                    <w:r>
                      <w:rPr>
                        <w:lang w:val="en-US"/>
                      </w:rPr>
                      <w:t>cters in any Hollywood cartoon.</w:t>
                    </w:r>
                  </w:p>
                </w:tc>
              </w:sdtContent>
            </w:sdt>
          </w:sdtContent>
        </w:sdt>
      </w:tr>
      <w:tr w:rsidR="003235A7" w:rsidTr="003235A7">
        <w:tc>
          <w:tcPr>
            <w:tcW w:w="9016" w:type="dxa"/>
          </w:tcPr>
          <w:p w:rsidR="004F549D" w:rsidRDefault="003235A7" w:rsidP="00116839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:rsidR="004F549D" w:rsidRDefault="004F549D" w:rsidP="00116839">
            <w:sdt>
              <w:sdtPr>
                <w:id w:val="1035623514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Ami062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 xml:space="preserve"> </w:t>
                </w:r>
                <w:r w:rsidRPr="004F549D">
                  <w:rPr>
                    <w:noProof/>
                    <w:lang w:val="en-US"/>
                  </w:rPr>
                  <w:t>(Amidi)</w:t>
                </w:r>
                <w:r>
                  <w:fldChar w:fldCharType="end"/>
                </w:r>
              </w:sdtContent>
            </w:sdt>
          </w:p>
          <w:p w:rsidR="004F549D" w:rsidRDefault="004F549D" w:rsidP="00116839">
            <w:sdt>
              <w:sdtPr>
                <w:id w:val="-1218741730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Bar99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 xml:space="preserve"> </w:t>
                </w:r>
                <w:r w:rsidRPr="004F549D">
                  <w:rPr>
                    <w:noProof/>
                    <w:lang w:val="en-US"/>
                  </w:rPr>
                  <w:t>(Barrier)</w:t>
                </w:r>
                <w:r>
                  <w:fldChar w:fldCharType="end"/>
                </w:r>
              </w:sdtContent>
            </w:sdt>
          </w:p>
          <w:p w:rsidR="004F549D" w:rsidRDefault="004F549D" w:rsidP="00116839">
            <w:sdt>
              <w:sdtPr>
                <w:id w:val="1608320728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Bec89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 xml:space="preserve"> </w:t>
                </w:r>
                <w:r w:rsidRPr="004F549D">
                  <w:rPr>
                    <w:noProof/>
                    <w:lang w:val="en-US"/>
                  </w:rPr>
                  <w:t>(Beck and Friedwald)</w:t>
                </w:r>
                <w:r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  <w:placeholder>
                <w:docPart w:val="D35F54377B6ED9478344AF47F6461924"/>
              </w:placeholder>
            </w:sdtPr>
            <w:sdtContent>
              <w:p w:rsidR="00116839" w:rsidRDefault="00116839" w:rsidP="00116839"/>
              <w:p w:rsidR="003235A7" w:rsidRDefault="00DF51C1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579" w:rsidRDefault="004E3579" w:rsidP="007A0D55">
      <w:pPr>
        <w:spacing w:after="0" w:line="240" w:lineRule="auto"/>
      </w:pPr>
      <w:r>
        <w:separator/>
      </w:r>
    </w:p>
  </w:endnote>
  <w:endnote w:type="continuationSeparator" w:id="0">
    <w:p w:rsidR="004E3579" w:rsidRDefault="004E357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579" w:rsidRDefault="004E3579" w:rsidP="007A0D55">
      <w:pPr>
        <w:spacing w:after="0" w:line="240" w:lineRule="auto"/>
      </w:pPr>
      <w:r>
        <w:separator/>
      </w:r>
    </w:p>
  </w:footnote>
  <w:footnote w:type="continuationSeparator" w:id="0">
    <w:p w:rsidR="004E3579" w:rsidRDefault="004E357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579" w:rsidRDefault="004E357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4E3579" w:rsidRDefault="004E357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839"/>
    <w:rsid w:val="00032559"/>
    <w:rsid w:val="00052040"/>
    <w:rsid w:val="000B25AE"/>
    <w:rsid w:val="000B55AB"/>
    <w:rsid w:val="000B7794"/>
    <w:rsid w:val="000D24DC"/>
    <w:rsid w:val="00101B2E"/>
    <w:rsid w:val="00116839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12BD"/>
    <w:rsid w:val="004A7476"/>
    <w:rsid w:val="004E3579"/>
    <w:rsid w:val="004E5896"/>
    <w:rsid w:val="004F549D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DF51C1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1683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83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1683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83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8FABBE7DA1DBA4F87B581A2B4904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1C3E3-D589-9745-AE01-D9600A642270}"/>
      </w:docPartPr>
      <w:docPartBody>
        <w:p w:rsidR="003B06B8" w:rsidRDefault="003B06B8">
          <w:pPr>
            <w:pStyle w:val="B8FABBE7DA1DBA4F87B581A2B490495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F2589F06ABAC443A07A17CF18CDE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86AE1-279F-9843-877C-76410B41821F}"/>
      </w:docPartPr>
      <w:docPartBody>
        <w:p w:rsidR="003B06B8" w:rsidRDefault="003B06B8">
          <w:pPr>
            <w:pStyle w:val="8F2589F06ABAC443A07A17CF18CDEFC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9708E914839F84D8A88774CC688D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45B17-AC9C-DA47-9D7B-29A837620A8C}"/>
      </w:docPartPr>
      <w:docPartBody>
        <w:p w:rsidR="003B06B8" w:rsidRDefault="003B06B8">
          <w:pPr>
            <w:pStyle w:val="E9708E914839F84D8A88774CC688D1A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CAB1EF3D455A04C96CCA4EEF94B9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842A0-7D47-6B4C-A0BC-38E817A957D2}"/>
      </w:docPartPr>
      <w:docPartBody>
        <w:p w:rsidR="003B06B8" w:rsidRDefault="003B06B8">
          <w:pPr>
            <w:pStyle w:val="8CAB1EF3D455A04C96CCA4EEF94B972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DDD7E9E1B3B634686AFAB04CFAD8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F0850-74B3-434D-9E79-67048545BD82}"/>
      </w:docPartPr>
      <w:docPartBody>
        <w:p w:rsidR="003B06B8" w:rsidRDefault="003B06B8">
          <w:pPr>
            <w:pStyle w:val="4DDD7E9E1B3B634686AFAB04CFAD89D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359735FC442524989B4CBEA2150A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4C9CA-4BB3-284F-BC8E-13597134F432}"/>
      </w:docPartPr>
      <w:docPartBody>
        <w:p w:rsidR="003B06B8" w:rsidRDefault="003B06B8">
          <w:pPr>
            <w:pStyle w:val="9359735FC442524989B4CBEA2150A24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AAE7431279E3D4C810969BD738A8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17B8-6D0B-0C4B-A6AF-BDB05CD7A64F}"/>
      </w:docPartPr>
      <w:docPartBody>
        <w:p w:rsidR="003B06B8" w:rsidRDefault="003B06B8">
          <w:pPr>
            <w:pStyle w:val="DAAE7431279E3D4C810969BD738A81C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3756AA1561AD14BAB86574E55009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98BA5-9B93-6B40-B064-39B514778443}"/>
      </w:docPartPr>
      <w:docPartBody>
        <w:p w:rsidR="003B06B8" w:rsidRDefault="003B06B8">
          <w:pPr>
            <w:pStyle w:val="73756AA1561AD14BAB86574E55009CA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9D85E746E24BE4B9546FAAA3C48F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072D5-B1DF-9A40-8333-D216243EE5C5}"/>
      </w:docPartPr>
      <w:docPartBody>
        <w:p w:rsidR="003B06B8" w:rsidRDefault="003B06B8">
          <w:pPr>
            <w:pStyle w:val="A9D85E746E24BE4B9546FAAA3C48F99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F16629E81D9144A98E89D1BBB54B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321AF-3FED-B740-8AA3-D670DE8FA373}"/>
      </w:docPartPr>
      <w:docPartBody>
        <w:p w:rsidR="003B06B8" w:rsidRDefault="003B06B8">
          <w:pPr>
            <w:pStyle w:val="0F16629E81D9144A98E89D1BBB54B82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D99502FF20D0D4B917466ED5EC30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17BD8-C9A4-8C41-AA38-4051E9909B1D}"/>
      </w:docPartPr>
      <w:docPartBody>
        <w:p w:rsidR="003B06B8" w:rsidRDefault="003B06B8" w:rsidP="003B06B8">
          <w:pPr>
            <w:pStyle w:val="6D99502FF20D0D4B917466ED5EC3093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6B8"/>
    <w:rsid w:val="003B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06B8"/>
    <w:rPr>
      <w:color w:val="808080"/>
    </w:rPr>
  </w:style>
  <w:style w:type="paragraph" w:customStyle="1" w:styleId="B8FABBE7DA1DBA4F87B581A2B4904953">
    <w:name w:val="B8FABBE7DA1DBA4F87B581A2B4904953"/>
  </w:style>
  <w:style w:type="paragraph" w:customStyle="1" w:styleId="8F2589F06ABAC443A07A17CF18CDEFC4">
    <w:name w:val="8F2589F06ABAC443A07A17CF18CDEFC4"/>
  </w:style>
  <w:style w:type="paragraph" w:customStyle="1" w:styleId="E9708E914839F84D8A88774CC688D1A9">
    <w:name w:val="E9708E914839F84D8A88774CC688D1A9"/>
  </w:style>
  <w:style w:type="paragraph" w:customStyle="1" w:styleId="8CAB1EF3D455A04C96CCA4EEF94B972D">
    <w:name w:val="8CAB1EF3D455A04C96CCA4EEF94B972D"/>
  </w:style>
  <w:style w:type="paragraph" w:customStyle="1" w:styleId="4DDD7E9E1B3B634686AFAB04CFAD89D5">
    <w:name w:val="4DDD7E9E1B3B634686AFAB04CFAD89D5"/>
  </w:style>
  <w:style w:type="paragraph" w:customStyle="1" w:styleId="9359735FC442524989B4CBEA2150A24F">
    <w:name w:val="9359735FC442524989B4CBEA2150A24F"/>
  </w:style>
  <w:style w:type="paragraph" w:customStyle="1" w:styleId="DAAE7431279E3D4C810969BD738A81C6">
    <w:name w:val="DAAE7431279E3D4C810969BD738A81C6"/>
  </w:style>
  <w:style w:type="paragraph" w:customStyle="1" w:styleId="73756AA1561AD14BAB86574E55009CAD">
    <w:name w:val="73756AA1561AD14BAB86574E55009CAD"/>
  </w:style>
  <w:style w:type="paragraph" w:customStyle="1" w:styleId="A9D85E746E24BE4B9546FAAA3C48F991">
    <w:name w:val="A9D85E746E24BE4B9546FAAA3C48F991"/>
  </w:style>
  <w:style w:type="paragraph" w:customStyle="1" w:styleId="0F16629E81D9144A98E89D1BBB54B823">
    <w:name w:val="0F16629E81D9144A98E89D1BBB54B823"/>
  </w:style>
  <w:style w:type="paragraph" w:customStyle="1" w:styleId="D35F54377B6ED9478344AF47F6461924">
    <w:name w:val="D35F54377B6ED9478344AF47F6461924"/>
  </w:style>
  <w:style w:type="paragraph" w:customStyle="1" w:styleId="6D99502FF20D0D4B917466ED5EC3093E">
    <w:name w:val="6D99502FF20D0D4B917466ED5EC3093E"/>
    <w:rsid w:val="003B06B8"/>
    <w:rPr>
      <w:lang w:val="en-US"/>
    </w:rPr>
  </w:style>
  <w:style w:type="paragraph" w:customStyle="1" w:styleId="021354934213B44BB0C946EE0A569E0E">
    <w:name w:val="021354934213B44BB0C946EE0A569E0E"/>
    <w:rsid w:val="003B06B8"/>
    <w:rPr>
      <w:lang w:val="en-US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06B8"/>
    <w:rPr>
      <w:color w:val="808080"/>
    </w:rPr>
  </w:style>
  <w:style w:type="paragraph" w:customStyle="1" w:styleId="B8FABBE7DA1DBA4F87B581A2B4904953">
    <w:name w:val="B8FABBE7DA1DBA4F87B581A2B4904953"/>
  </w:style>
  <w:style w:type="paragraph" w:customStyle="1" w:styleId="8F2589F06ABAC443A07A17CF18CDEFC4">
    <w:name w:val="8F2589F06ABAC443A07A17CF18CDEFC4"/>
  </w:style>
  <w:style w:type="paragraph" w:customStyle="1" w:styleId="E9708E914839F84D8A88774CC688D1A9">
    <w:name w:val="E9708E914839F84D8A88774CC688D1A9"/>
  </w:style>
  <w:style w:type="paragraph" w:customStyle="1" w:styleId="8CAB1EF3D455A04C96CCA4EEF94B972D">
    <w:name w:val="8CAB1EF3D455A04C96CCA4EEF94B972D"/>
  </w:style>
  <w:style w:type="paragraph" w:customStyle="1" w:styleId="4DDD7E9E1B3B634686AFAB04CFAD89D5">
    <w:name w:val="4DDD7E9E1B3B634686AFAB04CFAD89D5"/>
  </w:style>
  <w:style w:type="paragraph" w:customStyle="1" w:styleId="9359735FC442524989B4CBEA2150A24F">
    <w:name w:val="9359735FC442524989B4CBEA2150A24F"/>
  </w:style>
  <w:style w:type="paragraph" w:customStyle="1" w:styleId="DAAE7431279E3D4C810969BD738A81C6">
    <w:name w:val="DAAE7431279E3D4C810969BD738A81C6"/>
  </w:style>
  <w:style w:type="paragraph" w:customStyle="1" w:styleId="73756AA1561AD14BAB86574E55009CAD">
    <w:name w:val="73756AA1561AD14BAB86574E55009CAD"/>
  </w:style>
  <w:style w:type="paragraph" w:customStyle="1" w:styleId="A9D85E746E24BE4B9546FAAA3C48F991">
    <w:name w:val="A9D85E746E24BE4B9546FAAA3C48F991"/>
  </w:style>
  <w:style w:type="paragraph" w:customStyle="1" w:styleId="0F16629E81D9144A98E89D1BBB54B823">
    <w:name w:val="0F16629E81D9144A98E89D1BBB54B823"/>
  </w:style>
  <w:style w:type="paragraph" w:customStyle="1" w:styleId="D35F54377B6ED9478344AF47F6461924">
    <w:name w:val="D35F54377B6ED9478344AF47F6461924"/>
  </w:style>
  <w:style w:type="paragraph" w:customStyle="1" w:styleId="6D99502FF20D0D4B917466ED5EC3093E">
    <w:name w:val="6D99502FF20D0D4B917466ED5EC3093E"/>
    <w:rsid w:val="003B06B8"/>
    <w:rPr>
      <w:lang w:val="en-US"/>
    </w:rPr>
  </w:style>
  <w:style w:type="paragraph" w:customStyle="1" w:styleId="021354934213B44BB0C946EE0A569E0E">
    <w:name w:val="021354934213B44BB0C946EE0A569E0E"/>
    <w:rsid w:val="003B06B8"/>
    <w:rPr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Ami062</b:Tag>
    <b:SourceType>Book</b:SourceType>
    <b:Guid>{4101767A-E522-554E-891D-3DA7FA6D61EC}</b:Guid>
    <b:Title>Cartoon Modern: Style and Design in Fifties Animation</b:Title>
    <b:City>San Francisco</b:City>
    <b:Publisher>Chronicle Books</b:Publisher>
    <b:Year>2006</b:Year>
    <b:Author>
      <b:Author>
        <b:NameList>
          <b:Person>
            <b:Last>Amidi</b:Last>
            <b:First>Amid</b:First>
          </b:Person>
        </b:NameList>
      </b:Author>
    </b:Author>
    <b:RefOrder>1</b:RefOrder>
  </b:Source>
  <b:Source>
    <b:Tag>Bar99</b:Tag>
    <b:SourceType>Book</b:SourceType>
    <b:Guid>{D14BDCAA-628C-874B-9188-525F6A4F10BB}</b:Guid>
    <b:Title>Hollywood Cartoons: American Animation in Its Golden Age</b:Title>
    <b:City>New York</b:City>
    <b:Publisher>Oxford UP</b:Publisher>
    <b:Year>1999</b:Year>
    <b:Author>
      <b:Author>
        <b:NameList>
          <b:Person>
            <b:Last>Barrier</b:Last>
            <b:Middle>Michael</b:Middle>
            <b:First>J</b:First>
          </b:Person>
        </b:NameList>
      </b:Author>
    </b:Author>
    <b:RefOrder>2</b:RefOrder>
  </b:Source>
  <b:Source>
    <b:Tag>Bec89</b:Tag>
    <b:SourceType>Book</b:SourceType>
    <b:Guid>{64955DAB-0E37-8D47-B71B-E527B304B4B0}</b:Guid>
    <b:Title>Looney Tunes and Merrie Melodies: A Complete Illustrated Guide to Warner Bros. Cartoons</b:Title>
    <b:City>New York</b:City>
    <b:Publisher>H. Holt</b:Publisher>
    <b:Year>1989</b:Year>
    <b:Author>
      <b:Author>
        <b:NameList>
          <b:Person>
            <b:Last>Beck</b:Last>
            <b:First>Jerry</b:First>
          </b:Person>
          <b:Person>
            <b:Last>Friedwald</b:Last>
            <b:First>Will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3B4B9C80-8AC9-334A-AE5F-2DBC0DCCF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33</TotalTime>
  <Pages>2</Pages>
  <Words>460</Words>
  <Characters>2626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1</cp:revision>
  <dcterms:created xsi:type="dcterms:W3CDTF">2014-12-13T21:52:00Z</dcterms:created>
  <dcterms:modified xsi:type="dcterms:W3CDTF">2015-01-05T00:09:00Z</dcterms:modified>
</cp:coreProperties>
</file>