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DED8D11AFA9C45B72FD49B716B4B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51501D22376174DA81A24DAADAD624A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EBE906B23A9E49A77C87666CB50E4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commentRangeStart w:id="0"/>
        <w:tc>
          <w:tcPr>
            <w:tcW w:w="2642" w:type="dxa"/>
          </w:tcPr>
          <w:p w:rsidR="00B574C9" w:rsidRDefault="00FA704C" w:rsidP="00087A79">
            <w:sdt>
              <w:sdtPr>
                <w:alias w:val="Last name"/>
                <w:tag w:val="authorLastName"/>
                <w:id w:val="-1088529830"/>
                <w:placeholder>
                  <w:docPart w:val="279697F17C5BD94BB80C77EDCB293FBC"/>
                </w:placeholder>
                <w:text/>
              </w:sdtPr>
              <w:sdtEndPr/>
              <w:sdtContent>
                <w:proofErr w:type="spellStart"/>
                <w:r w:rsidR="00087A79">
                  <w:t>Fauth</w:t>
                </w:r>
                <w:proofErr w:type="spellEnd"/>
              </w:sdtContent>
            </w:sdt>
            <w:commentRangeEnd w:id="0"/>
            <w:r w:rsidR="005127A0">
              <w:rPr>
                <w:rStyle w:val="CommentReference"/>
              </w:rPr>
              <w:commentReference w:id="0"/>
            </w:r>
          </w:p>
        </w:tc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E7F39D06F40A14BB990BCD84D65DE8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168D6E4C2EFEA4B9A834972C592672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9C113AD8B5FFA94BA3303ACBE90AEDD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87A79" w:rsidP="00087A79">
                <w:proofErr w:type="spellStart"/>
                <w:r w:rsidRPr="00E671CB">
                  <w:rPr>
                    <w:lang w:val="en-CA"/>
                  </w:rPr>
                  <w:t>Sørensen</w:t>
                </w:r>
                <w:proofErr w:type="spellEnd"/>
                <w:r w:rsidRPr="00E671CB">
                  <w:rPr>
                    <w:lang w:val="en-CA"/>
                  </w:rPr>
                  <w:t xml:space="preserve">, </w:t>
                </w:r>
                <w:proofErr w:type="spellStart"/>
                <w:r w:rsidRPr="00E671CB">
                  <w:rPr>
                    <w:lang w:val="en-CA"/>
                  </w:rPr>
                  <w:t>Villy</w:t>
                </w:r>
                <w:proofErr w:type="spellEnd"/>
                <w:r w:rsidRPr="00E671CB">
                  <w:rPr>
                    <w:lang w:val="en-CA"/>
                  </w:rPr>
                  <w:t xml:space="preserve"> (1929-2001)</w:t>
                </w:r>
              </w:p>
            </w:tc>
          </w:sdtContent>
        </w:sdt>
      </w:tr>
      <w:tr w:rsidR="00464699" w:rsidTr="005127A0">
        <w:sdt>
          <w:sdtPr>
            <w:alias w:val="Variant headwords"/>
            <w:tag w:val="variantHeadwords"/>
            <w:id w:val="173464402"/>
            <w:placeholder>
              <w:docPart w:val="5364B84F4E31A14DB6F391CFDB6C9CB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15A1EB7841AF4428E68B4025A5E74A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30716F" w:rsidRDefault="00B9119E" w:rsidP="00E85A05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one of the most prominent intellectual figures of twentieth-century Denmark. His work spanned social commentary, philosophy</w:t>
                </w:r>
                <w:r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literature. He was a sophisticated literary critic, author of tales based on Norse and Greek mythology, and an outstanding translator of Latin and German literature, particularly of modernist writers of the German-language tradition such as Franz Kafka and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Pr="00087A79">
                  <w:rPr>
                    <w:lang w:val="en-CA"/>
                  </w:rPr>
                  <w:t>. His fiction comprises only a small part of his oeuvre</w:t>
                </w:r>
                <w:r>
                  <w:rPr>
                    <w:lang w:val="en-CA"/>
                  </w:rPr>
                  <w:t>, most</w:t>
                </w:r>
                <w:r w:rsidRPr="00087A79">
                  <w:rPr>
                    <w:lang w:val="en-CA"/>
                  </w:rPr>
                  <w:t xml:space="preserve"> notable </w:t>
                </w:r>
                <w:r>
                  <w:rPr>
                    <w:lang w:val="en-CA"/>
                  </w:rPr>
                  <w:t>being</w:t>
                </w:r>
                <w:r w:rsidRPr="00087A79">
                  <w:rPr>
                    <w:lang w:val="en-CA"/>
                  </w:rPr>
                  <w:t xml:space="preserve"> the early tales </w:t>
                </w:r>
                <w:proofErr w:type="spellStart"/>
                <w:r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(1953) and </w:t>
                </w:r>
                <w:proofErr w:type="spellStart"/>
                <w:r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Harmless Tales</w:t>
                </w:r>
                <w:r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1955), as well as the later collections of short prose, </w:t>
                </w:r>
                <w:proofErr w:type="spellStart"/>
                <w:r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Tutelary Tales</w:t>
                </w:r>
                <w:r>
                  <w:rPr>
                    <w:lang w:val="en-CA"/>
                  </w:rPr>
                  <w:t xml:space="preserve">, 1964). </w:t>
                </w:r>
                <w:r w:rsidRPr="00087A79">
                  <w:rPr>
                    <w:lang w:val="en-CA"/>
                  </w:rPr>
                  <w:t>The rema</w:t>
                </w:r>
                <w:r>
                  <w:rPr>
                    <w:lang w:val="en-CA"/>
                  </w:rPr>
                  <w:t xml:space="preserve">inder of the oeuvre consists of </w:t>
                </w:r>
                <w:r w:rsidRPr="00087A79">
                  <w:rPr>
                    <w:lang w:val="en-CA"/>
                  </w:rPr>
                  <w:t xml:space="preserve">philosophical and cultural treatises, and literary criticism such as </w:t>
                </w: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lang w:val="en-CA"/>
                  </w:rPr>
                  <w:t xml:space="preserve"> (1959). In this latter work,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, who was especially oriented towards German letters, provides in-depth perspectives on such modernist writers as Franz Kafka,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Thomas Mann. To the philosophy of culture belongs </w:t>
                </w:r>
                <w:r w:rsidRPr="00087A79">
                  <w:rPr>
                    <w:i/>
                    <w:lang w:val="en-CA"/>
                  </w:rPr>
                  <w:t xml:space="preserve">Seneca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Seneca: The Humanist at the Court of Nero</w:t>
                </w:r>
                <w:r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1976), in which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impressive scholarship and overview are displayed to the full. Moreover, his body of work includes a number of renderings, collections of lectures, speeches and essay</w:t>
                </w:r>
                <w:r>
                  <w:rPr>
                    <w:lang w:val="en-CA"/>
                  </w:rPr>
                  <w:t xml:space="preserve">s, and newspaper commentaries.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A6D39CA92C3AA4C86AF3E6F9B9CBEA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one of the most prominent intellectual figures of twentieth-century Denmark. His work spanned social commentary, philosophy</w:t>
                </w:r>
                <w:r w:rsidR="0030716F"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literature. He was a sophisticated literary critic, author of tales based on Norse and Greek mythology, and an outstanding translator of Latin and German literature, particularly of modernist writers of the German-language tradition such as Franz Kafka and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Pr="00087A79">
                  <w:rPr>
                    <w:lang w:val="en-CA"/>
                  </w:rPr>
                  <w:t>. His fiction comprises only a small part of his oeuvre</w:t>
                </w:r>
                <w:r w:rsidR="00FF5135">
                  <w:rPr>
                    <w:lang w:val="en-CA"/>
                  </w:rPr>
                  <w:t>, most</w:t>
                </w:r>
                <w:r w:rsidRPr="00087A79">
                  <w:rPr>
                    <w:lang w:val="en-CA"/>
                  </w:rPr>
                  <w:t xml:space="preserve"> notable </w:t>
                </w:r>
                <w:r w:rsidR="00FF5135">
                  <w:rPr>
                    <w:lang w:val="en-CA"/>
                  </w:rPr>
                  <w:t>being</w:t>
                </w:r>
                <w:r w:rsidRPr="00087A79">
                  <w:rPr>
                    <w:lang w:val="en-CA"/>
                  </w:rPr>
                  <w:t xml:space="preserve"> the early tales </w:t>
                </w:r>
                <w:proofErr w:type="spellStart"/>
                <w:r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(1953) and </w:t>
                </w:r>
                <w:proofErr w:type="spellStart"/>
                <w:r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Harmless Tales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1955), as well as the later collections of short prose, </w:t>
                </w:r>
                <w:proofErr w:type="spellStart"/>
                <w:r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Tutelary Tales</w:t>
                </w:r>
                <w:r w:rsidR="0030716F">
                  <w:rPr>
                    <w:lang w:val="en-CA"/>
                  </w:rPr>
                  <w:t xml:space="preserve">, 1964). </w:t>
                </w:r>
                <w:r w:rsidRPr="00087A79">
                  <w:rPr>
                    <w:lang w:val="en-CA"/>
                  </w:rPr>
                  <w:t>The rema</w:t>
                </w:r>
                <w:r w:rsidR="0030716F">
                  <w:rPr>
                    <w:lang w:val="en-CA"/>
                  </w:rPr>
                  <w:t xml:space="preserve">inder of the oeuvre consists of </w:t>
                </w:r>
                <w:r w:rsidRPr="00087A79">
                  <w:rPr>
                    <w:lang w:val="en-CA"/>
                  </w:rPr>
                  <w:t xml:space="preserve">philosophical and cultural treatises, and literary criticism such as </w:t>
                </w: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lang w:val="en-CA"/>
                  </w:rPr>
                  <w:t xml:space="preserve"> (1959). In this latter work,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, who was especially oriented towards German letters, provides in-depth perspectives on such modernist writers as Franz Kafka,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="0030716F"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Thomas Mann. To the philosophy of culture belongs </w:t>
                </w:r>
                <w:r w:rsidRPr="00087A79">
                  <w:rPr>
                    <w:i/>
                    <w:lang w:val="en-CA"/>
                  </w:rPr>
                  <w:t xml:space="preserve">Seneca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Seneca: The Humanist at the Court of Nero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1976), in which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impressive scholarship and overview are displayed to the full. Moreover, his body of work includes a number of renderings, collections of lectures, speeches and essays, and newspaper commentaries. 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born on 13 January 1929 and grew up in the Copenhagen suburb of </w:t>
                </w:r>
                <w:proofErr w:type="spellStart"/>
                <w:r w:rsidRPr="00087A79">
                  <w:rPr>
                    <w:lang w:val="en-CA"/>
                  </w:rPr>
                  <w:t>Valby</w:t>
                </w:r>
                <w:proofErr w:type="spellEnd"/>
                <w:r w:rsidRPr="00087A79">
                  <w:rPr>
                    <w:lang w:val="en-CA"/>
                  </w:rPr>
                  <w:t>. In 1947 he suffered</w:t>
                </w:r>
                <w:r w:rsidR="0030716F">
                  <w:rPr>
                    <w:lang w:val="en-CA"/>
                  </w:rPr>
                  <w:t xml:space="preserve"> a</w:t>
                </w:r>
                <w:r w:rsidRPr="00087A79">
                  <w:rPr>
                    <w:lang w:val="en-CA"/>
                  </w:rPr>
                  <w:t xml:space="preserve"> psychological breakdown, most likely on account of unrequited love, compounded by his sensitive nature. Following his secondary education he read philosophy at the University of Copenhagen and spent a period as an exchange student in Freiburg. He never found his feet within the philosophical establishment and abandoned formal study in order to devote </w:t>
                </w:r>
                <w:r w:rsidRPr="00087A79">
                  <w:rPr>
                    <w:lang w:val="en-CA"/>
                  </w:rPr>
                  <w:lastRenderedPageBreak/>
                  <w:t xml:space="preserve">himself to his own poetry and thinking. He suffered from severe back pain during long periods of his life. In 1974,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received the Nordic Council Literature Prize for his book of essays </w:t>
                </w:r>
                <w:proofErr w:type="spellStart"/>
                <w:r w:rsidRPr="00087A79">
                  <w:rPr>
                    <w:i/>
                    <w:lang w:val="en-CA"/>
                  </w:rPr>
                  <w:t>Uden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mål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–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med: </w:t>
                </w:r>
                <w:proofErr w:type="spellStart"/>
                <w:r w:rsidRPr="00087A79">
                  <w:rPr>
                    <w:i/>
                    <w:lang w:val="en-CA"/>
                  </w:rPr>
                  <w:t>Moralske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tanker</w:t>
                </w:r>
                <w:r w:rsidRPr="00087A79">
                  <w:rPr>
                    <w:lang w:val="en-CA"/>
                  </w:rPr>
                  <w:t xml:space="preserve"> (1973). He was a repeated candidate for the Nobel Prize in Literature.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died on 16 December 2001.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Default="00087A79" w:rsidP="00C27FAB">
                <w:pPr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 xml:space="preserve">Despite his unassuming nature, </w:t>
                </w: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created a furore with </w:t>
                </w:r>
                <w:proofErr w:type="spellStart"/>
                <w:r w:rsidRPr="00087A79">
                  <w:rPr>
                    <w:i/>
                    <w:lang w:val="en-CA"/>
                  </w:rPr>
                  <w:t>Oprør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fra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midten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Revolt from the Center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1978), a critical treatise in defence of a Third Way </w:t>
                </w:r>
                <w:r w:rsidR="0030716F">
                  <w:rPr>
                    <w:lang w:val="en-CA"/>
                  </w:rPr>
                  <w:softHyphen/>
                  <w:t xml:space="preserve">– </w:t>
                </w:r>
                <w:r w:rsidRPr="00087A79">
                  <w:rPr>
                    <w:lang w:val="en-CA"/>
                  </w:rPr>
                  <w:t xml:space="preserve">reconciling liberalist and communist ideologies. While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subject matter was often demanding, his books achieved widespread public appeal, not least by virtue of the author’s lucid pen</w:t>
                </w:r>
                <w:r w:rsidR="00B9119E">
                  <w:rPr>
                    <w:lang w:val="en-CA"/>
                  </w:rPr>
                  <w:t xml:space="preserve"> and</w:t>
                </w:r>
                <w:r w:rsidRPr="00087A79">
                  <w:rPr>
                    <w:lang w:val="en-CA"/>
                  </w:rPr>
                  <w:t xml:space="preserve"> ability to make accessible even the most complicated of ideas.</w:t>
                </w:r>
              </w:p>
              <w:p w:rsidR="0030716F" w:rsidRDefault="0030716F" w:rsidP="00C27FAB">
                <w:pPr>
                  <w:rPr>
                    <w:lang w:val="en-CA"/>
                  </w:rPr>
                </w:pPr>
              </w:p>
              <w:p w:rsidR="0030716F" w:rsidRDefault="0030716F" w:rsidP="00C27FAB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[</w:t>
                </w:r>
                <w:proofErr w:type="gramStart"/>
                <w:r>
                  <w:rPr>
                    <w:lang w:val="en-CA"/>
                  </w:rPr>
                  <w:t>image</w:t>
                </w:r>
                <w:proofErr w:type="gramEnd"/>
                <w:r>
                  <w:rPr>
                    <w:lang w:val="en-CA"/>
                  </w:rPr>
                  <w:t>: Sorensen.jpg]</w:t>
                </w:r>
              </w:p>
              <w:p w:rsidR="0030716F" w:rsidRDefault="0030716F" w:rsidP="00C27FAB">
                <w:pPr>
                  <w:rPr>
                    <w:lang w:val="en-CA"/>
                  </w:rPr>
                </w:pPr>
              </w:p>
              <w:p w:rsidR="0030716F" w:rsidRPr="0030716F" w:rsidRDefault="0030716F" w:rsidP="0030716F">
                <w:pPr>
                  <w:pStyle w:val="Caption"/>
                  <w:keepNext/>
                </w:pPr>
                <w:r>
                  <w:t xml:space="preserve">Figure </w:t>
                </w:r>
                <w:r w:rsidR="00FA704C">
                  <w:fldChar w:fldCharType="begin"/>
                </w:r>
                <w:r w:rsidR="00FA704C">
                  <w:instrText xml:space="preserve"> SEQ Figure \* ARABIC </w:instrText>
                </w:r>
                <w:r w:rsidR="00FA704C">
                  <w:fldChar w:fldCharType="separate"/>
                </w:r>
                <w:r>
                  <w:rPr>
                    <w:noProof/>
                  </w:rPr>
                  <w:t>1</w:t>
                </w:r>
                <w:r w:rsidR="00FA704C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</w:p>
              <w:p w:rsidR="00087A79" w:rsidRDefault="00087A79" w:rsidP="00087A79">
                <w:pPr>
                  <w:rPr>
                    <w:lang w:val="en-CA"/>
                  </w:rPr>
                </w:pPr>
              </w:p>
              <w:p w:rsidR="0030716F" w:rsidRPr="00087A79" w:rsidRDefault="0030716F" w:rsidP="005127A0">
                <w:pPr>
                  <w:pStyle w:val="Heading1"/>
                  <w:outlineLvl w:val="0"/>
                  <w:rPr>
                    <w:lang w:val="en-CA"/>
                  </w:rPr>
                </w:pPr>
                <w:r>
                  <w:rPr>
                    <w:lang w:val="en-CA"/>
                  </w:rPr>
                  <w:t>Works</w:t>
                </w:r>
              </w:p>
              <w:p w:rsidR="00087A79" w:rsidRPr="00087A79" w:rsidRDefault="00087A79" w:rsidP="00FA704C">
                <w:pPr>
                  <w:pStyle w:val="Heading2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Short Stories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(1953)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(1955)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(1964)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FA704C">
                <w:pPr>
                  <w:pStyle w:val="Heading2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Essays on Literature and Philosophy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 xml:space="preserve">Schopenhauer </w:t>
                </w:r>
                <w:r w:rsidRPr="00087A79">
                  <w:rPr>
                    <w:lang w:val="en-CA"/>
                  </w:rPr>
                  <w:t>(1969)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Seneca</w:t>
                </w:r>
                <w:r w:rsidRPr="00087A79">
                  <w:rPr>
                    <w:lang w:val="en-CA"/>
                  </w:rPr>
                  <w:t xml:space="preserve">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(1976)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FA704C">
                <w:pPr>
                  <w:pStyle w:val="Heading2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Political-philosophical Essays and other Prose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Uden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mål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–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med</w:t>
                </w:r>
                <w:r w:rsidRPr="00087A79">
                  <w:rPr>
                    <w:lang w:val="en-CA"/>
                  </w:rPr>
                  <w:t xml:space="preserve">. </w:t>
                </w:r>
                <w:proofErr w:type="spellStart"/>
                <w:r w:rsidRPr="00087A79">
                  <w:rPr>
                    <w:i/>
                    <w:lang w:val="en-CA"/>
                  </w:rPr>
                  <w:t>Moralske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tanker </w:t>
                </w:r>
                <w:r w:rsidRPr="00087A79">
                  <w:rPr>
                    <w:lang w:val="en-CA"/>
                  </w:rPr>
                  <w:t>(1973)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Oprør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fra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midten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 xml:space="preserve"> (1978)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FA704C">
                <w:pPr>
                  <w:pStyle w:val="Heading2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English Translations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Revolt from the Center</w:t>
                </w:r>
                <w:r w:rsidRPr="00087A79">
                  <w:rPr>
                    <w:lang w:val="en-CA"/>
                  </w:rPr>
                  <w:t xml:space="preserve">, translated by Christine </w:t>
                </w:r>
                <w:proofErr w:type="spellStart"/>
                <w:r w:rsidRPr="00087A79">
                  <w:rPr>
                    <w:lang w:val="en-CA"/>
                  </w:rPr>
                  <w:t>Hauch</w:t>
                </w:r>
                <w:proofErr w:type="spellEnd"/>
                <w:r w:rsidRPr="00087A79">
                  <w:rPr>
                    <w:lang w:val="en-CA"/>
                  </w:rPr>
                  <w:t>. Boston and London: M. Boyars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(1981)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Seneca</w:t>
                </w:r>
                <w:r w:rsidRPr="00087A79">
                  <w:rPr>
                    <w:lang w:val="en-CA"/>
                  </w:rPr>
                  <w:t>:</w:t>
                </w:r>
                <w:r w:rsidRPr="00087A79">
                  <w:rPr>
                    <w:i/>
                    <w:lang w:val="en-CA"/>
                  </w:rPr>
                  <w:t xml:space="preserve"> The Humanist at the Court of Nero</w:t>
                </w:r>
                <w:r w:rsidRPr="00087A79">
                  <w:rPr>
                    <w:lang w:val="en-CA"/>
                  </w:rPr>
                  <w:t xml:space="preserve">, translated by W. Glynn Jones. Edinburgh:  </w:t>
                </w:r>
                <w:proofErr w:type="spellStart"/>
                <w:r w:rsidRPr="00087A79">
                  <w:rPr>
                    <w:lang w:val="en-CA"/>
                  </w:rPr>
                  <w:t>Canongate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(1984)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Tutelary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>. Lincoln: Nebraska University Press (1988)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Downfall of the Gods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>. Lincoln: Nebraska University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Another Metamorphosis and Other Fictions</w:t>
                </w:r>
                <w:r w:rsidRPr="00087A79">
                  <w:rPr>
                    <w:lang w:val="en-CA"/>
                  </w:rPr>
                  <w:t xml:space="preserve">, translated by </w:t>
                </w:r>
                <w:proofErr w:type="spellStart"/>
                <w:r w:rsidRPr="00087A79">
                  <w:rPr>
                    <w:lang w:val="en-CA"/>
                  </w:rPr>
                  <w:t>Tiina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Nunnally</w:t>
                </w:r>
                <w:proofErr w:type="spellEnd"/>
                <w:r w:rsidRPr="00087A79">
                  <w:rPr>
                    <w:lang w:val="en-CA"/>
                  </w:rPr>
                  <w:t xml:space="preserve"> and Steve Murray. Seattle: Fjord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(1990)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Harmless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 xml:space="preserve">. Norwich: </w:t>
                </w:r>
                <w:proofErr w:type="spellStart"/>
                <w:r w:rsidRPr="00087A79">
                  <w:rPr>
                    <w:lang w:val="en-CA"/>
                  </w:rPr>
                  <w:t>Norvik</w:t>
                </w:r>
                <w:proofErr w:type="spellEnd"/>
                <w:r w:rsidRPr="00087A79">
                  <w:rPr>
                    <w:lang w:val="en-CA"/>
                  </w:rPr>
                  <w:t xml:space="preserve">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(1991)</w:t>
                </w:r>
              </w:p>
              <w:p w:rsidR="003F0D73" w:rsidRPr="00FA704C" w:rsidRDefault="00087A79" w:rsidP="00FA704C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Four Biblical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 xml:space="preserve">, edited by Sven H. </w:t>
                </w:r>
                <w:proofErr w:type="spellStart"/>
                <w:r w:rsidRPr="00087A79">
                  <w:rPr>
                    <w:lang w:val="en-CA"/>
                  </w:rPr>
                  <w:t>Rossel</w:t>
                </w:r>
                <w:proofErr w:type="spellEnd"/>
                <w:r w:rsidRPr="00087A79">
                  <w:rPr>
                    <w:lang w:val="en-CA"/>
                  </w:rPr>
                  <w:t>. Seattle: Mermaid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(1991)</w:t>
                </w:r>
                <w:r w:rsidR="00FA704C">
                  <w:t xml:space="preserve">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71768F" w:rsidRDefault="00FA704C" w:rsidP="008A5B87">
            <w:sdt>
              <w:sdtPr>
                <w:id w:val="62689358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Haa00 \l 1033 </w:instrText>
                </w:r>
                <w:r>
                  <w:fldChar w:fldCharType="separate"/>
                </w:r>
                <w:r w:rsidRPr="00FA704C">
                  <w:rPr>
                    <w:noProof/>
                    <w:lang w:val="en-US"/>
                  </w:rPr>
                  <w:t>(Haarder, Villy og Sørensen: Skitse til genlæsning af et forfatterskab)</w:t>
                </w:r>
                <w:r>
                  <w:fldChar w:fldCharType="end"/>
                </w:r>
              </w:sdtContent>
            </w:sdt>
          </w:p>
          <w:p w:rsidR="00FA704C" w:rsidRDefault="00FA704C" w:rsidP="008A5B87">
            <w:sdt>
              <w:sdtPr>
                <w:id w:val="-925728630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Haa01 \l 1033 </w:instrText>
                </w:r>
                <w:r>
                  <w:fldChar w:fldCharType="separate"/>
                </w:r>
                <w:r w:rsidRPr="00FA704C">
                  <w:rPr>
                    <w:noProof/>
                    <w:lang w:val="en-US"/>
                  </w:rPr>
                  <w:t>(Haarder, Villy Sørensen)</w:t>
                </w:r>
                <w:r>
                  <w:fldChar w:fldCharType="end"/>
                </w:r>
              </w:sdtContent>
            </w:sdt>
          </w:p>
          <w:p w:rsidR="00FA704C" w:rsidRDefault="00FA704C" w:rsidP="008A5B87">
            <w:sdt>
              <w:sdtPr>
                <w:id w:val="139477937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Øhr01 \l 1033 </w:instrText>
                </w:r>
                <w:r>
                  <w:fldChar w:fldCharType="separate"/>
                </w:r>
                <w:r w:rsidRPr="00FA704C">
                  <w:rPr>
                    <w:noProof/>
                    <w:lang w:val="en-US"/>
                  </w:rPr>
                  <w:t>(Øhrgaard, Villy Sørensen )</w:t>
                </w:r>
                <w:r>
                  <w:fldChar w:fldCharType="end"/>
                </w:r>
              </w:sdtContent>
            </w:sdt>
          </w:p>
          <w:p w:rsidR="00FA704C" w:rsidRDefault="00FA704C" w:rsidP="008A5B87">
            <w:sdt>
              <w:sdtPr>
                <w:id w:val="169926969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Øhr04 \l 1033 </w:instrText>
                </w:r>
                <w:r>
                  <w:fldChar w:fldCharType="separate"/>
                </w:r>
                <w:r w:rsidRPr="00FA704C">
                  <w:rPr>
                    <w:noProof/>
                    <w:lang w:val="en-US"/>
                  </w:rPr>
                  <w:t>(Øhrgaard, Med Villy I Midten: 28 Vidnesbyrd Om Villy Sørensen)</w:t>
                </w:r>
                <w:r>
                  <w:fldChar w:fldCharType="end"/>
                </w:r>
              </w:sdtContent>
            </w:sdt>
          </w:p>
          <w:p w:rsidR="00FA704C" w:rsidRDefault="00FA704C" w:rsidP="008A5B87">
            <w:sdt>
              <w:sdtPr>
                <w:id w:val="29626917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Stø06 \l 1033 </w:instrText>
                </w:r>
                <w:r>
                  <w:fldChar w:fldCharType="separate"/>
                </w:r>
                <w:r w:rsidRPr="00FA704C">
                  <w:rPr>
                    <w:noProof/>
                    <w:lang w:val="en-US"/>
                  </w:rPr>
                  <w:t>(Støvring, Det Etiske Kunstværk: Villy Sørensens Poetik Og Litterære Kritik)</w:t>
                </w:r>
                <w:r>
                  <w:fldChar w:fldCharType="end"/>
                </w:r>
              </w:sdtContent>
            </w:sdt>
          </w:p>
          <w:p w:rsidR="00FA704C" w:rsidRDefault="00FA704C" w:rsidP="008A5B87">
            <w:sdt>
              <w:sdtPr>
                <w:id w:val="157253523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Stø11 \l 1033 </w:instrText>
                </w:r>
                <w:r>
                  <w:fldChar w:fldCharType="separate"/>
                </w:r>
                <w:r w:rsidRPr="00FA704C">
                  <w:rPr>
                    <w:noProof/>
                    <w:lang w:val="en-US"/>
                  </w:rPr>
                  <w:t>(Støvring, Villy Sørensen Og Kulturkonservatismen)</w:t>
                </w:r>
                <w:r>
                  <w:fldChar w:fldCharType="end"/>
                </w:r>
              </w:sdtContent>
            </w:sdt>
          </w:p>
          <w:p w:rsidR="003235A7" w:rsidRDefault="003235A7" w:rsidP="00FB11DE">
            <w:bookmarkStart w:id="1" w:name="_GoBack"/>
            <w:bookmarkEnd w:id="1"/>
          </w:p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2-07T17:08:00Z" w:initials="JN">
    <w:p w:rsidR="00FF5135" w:rsidRDefault="00FF5135">
      <w:pPr>
        <w:pStyle w:val="CommentText"/>
      </w:pPr>
      <w:r>
        <w:rPr>
          <w:rStyle w:val="CommentReference"/>
        </w:rPr>
        <w:annotationRef/>
      </w:r>
      <w:r>
        <w:t>Full name was not included with Entry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135" w:rsidRDefault="00FF5135" w:rsidP="007A0D55">
      <w:pPr>
        <w:spacing w:after="0" w:line="240" w:lineRule="auto"/>
      </w:pPr>
      <w:r>
        <w:separator/>
      </w:r>
    </w:p>
  </w:endnote>
  <w:endnote w:type="continuationSeparator" w:id="0">
    <w:p w:rsidR="00FF5135" w:rsidRDefault="00FF51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135" w:rsidRDefault="00FF5135" w:rsidP="007A0D55">
      <w:pPr>
        <w:spacing w:after="0" w:line="240" w:lineRule="auto"/>
      </w:pPr>
      <w:r>
        <w:separator/>
      </w:r>
    </w:p>
  </w:footnote>
  <w:footnote w:type="continuationSeparator" w:id="0">
    <w:p w:rsidR="00FF5135" w:rsidRDefault="00FF51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135" w:rsidRDefault="00FF513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FF5135" w:rsidRDefault="00FF51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79"/>
    <w:rsid w:val="00032559"/>
    <w:rsid w:val="00052040"/>
    <w:rsid w:val="00087A7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16F"/>
    <w:rsid w:val="003235A7"/>
    <w:rsid w:val="003677B6"/>
    <w:rsid w:val="003D3579"/>
    <w:rsid w:val="003E2795"/>
    <w:rsid w:val="003F0D73"/>
    <w:rsid w:val="003F7F7B"/>
    <w:rsid w:val="00462DBE"/>
    <w:rsid w:val="00464699"/>
    <w:rsid w:val="00483379"/>
    <w:rsid w:val="00487BC5"/>
    <w:rsid w:val="00496888"/>
    <w:rsid w:val="004A7476"/>
    <w:rsid w:val="004E5896"/>
    <w:rsid w:val="005127A0"/>
    <w:rsid w:val="00513EE6"/>
    <w:rsid w:val="00534F8F"/>
    <w:rsid w:val="00590035"/>
    <w:rsid w:val="005B177E"/>
    <w:rsid w:val="005B3921"/>
    <w:rsid w:val="005F26D7"/>
    <w:rsid w:val="005F5450"/>
    <w:rsid w:val="006D0412"/>
    <w:rsid w:val="0071768F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7469"/>
    <w:rsid w:val="00B9119E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704C"/>
    <w:rsid w:val="00FB11DE"/>
    <w:rsid w:val="00FB589A"/>
    <w:rsid w:val="00FB7317"/>
    <w:rsid w:val="00FF513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7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12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12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12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7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7176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71768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7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12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12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12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7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7176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717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DED8D11AFA9C45B72FD49B716B4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53A12-27C8-2F4E-B4B4-6AC9D2A2B279}"/>
      </w:docPartPr>
      <w:docPartBody>
        <w:p w:rsidR="00BC750D" w:rsidRDefault="00BC750D">
          <w:pPr>
            <w:pStyle w:val="5BDED8D11AFA9C45B72FD49B716B4B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51501D22376174DA81A24DAADAD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F05CA-BF38-9448-9ECD-9A1639E0B45A}"/>
      </w:docPartPr>
      <w:docPartBody>
        <w:p w:rsidR="00BC750D" w:rsidRDefault="00BC750D">
          <w:pPr>
            <w:pStyle w:val="251501D22376174DA81A24DAADAD62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EBE906B23A9E49A77C87666CB50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3BE6-C855-5040-A65A-697A8D0A431E}"/>
      </w:docPartPr>
      <w:docPartBody>
        <w:p w:rsidR="00BC750D" w:rsidRDefault="00BC750D">
          <w:pPr>
            <w:pStyle w:val="A4EBE906B23A9E49A77C87666CB50E4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79697F17C5BD94BB80C77EDCB293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67786-5598-D344-AE8E-68F263A80F5C}"/>
      </w:docPartPr>
      <w:docPartBody>
        <w:p w:rsidR="00BC750D" w:rsidRDefault="00BC750D">
          <w:pPr>
            <w:pStyle w:val="279697F17C5BD94BB80C77EDCB293F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E7F39D06F40A14BB990BCD84D65D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7695F-C0F2-784F-A7CE-2B284C83883D}"/>
      </w:docPartPr>
      <w:docPartBody>
        <w:p w:rsidR="00BC750D" w:rsidRDefault="00BC750D">
          <w:pPr>
            <w:pStyle w:val="EE7F39D06F40A14BB990BCD84D65DE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168D6E4C2EFEA4B9A834972C5926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C7C17-DCEA-804A-A951-F249C1F417EB}"/>
      </w:docPartPr>
      <w:docPartBody>
        <w:p w:rsidR="00BC750D" w:rsidRDefault="00BC750D">
          <w:pPr>
            <w:pStyle w:val="9168D6E4C2EFEA4B9A834972C592672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C113AD8B5FFA94BA3303ACBE90AE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CCD75-D59B-874B-BC62-B7379CA4F5F4}"/>
      </w:docPartPr>
      <w:docPartBody>
        <w:p w:rsidR="00BC750D" w:rsidRDefault="00BC750D">
          <w:pPr>
            <w:pStyle w:val="9C113AD8B5FFA94BA3303ACBE90AEDD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64B84F4E31A14DB6F391CFDB6C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ED98E-2036-1642-9AA7-68FE79A6AED8}"/>
      </w:docPartPr>
      <w:docPartBody>
        <w:p w:rsidR="00BC750D" w:rsidRDefault="00BC750D">
          <w:pPr>
            <w:pStyle w:val="5364B84F4E31A14DB6F391CFDB6C9CB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5A1EB7841AF4428E68B4025A5E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1596B-BE4A-A145-BA08-3D1CDDCFE30E}"/>
      </w:docPartPr>
      <w:docPartBody>
        <w:p w:rsidR="00BC750D" w:rsidRDefault="00BC750D">
          <w:pPr>
            <w:pStyle w:val="115A1EB7841AF4428E68B4025A5E74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6D39CA92C3AA4C86AF3E6F9B9CB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F1DBE-5990-1141-8560-2304DCD989B0}"/>
      </w:docPartPr>
      <w:docPartBody>
        <w:p w:rsidR="00BC750D" w:rsidRDefault="00BC750D">
          <w:pPr>
            <w:pStyle w:val="FA6D39CA92C3AA4C86AF3E6F9B9CBE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0D"/>
    <w:rsid w:val="00B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DED8D11AFA9C45B72FD49B716B4B1A">
    <w:name w:val="5BDED8D11AFA9C45B72FD49B716B4B1A"/>
  </w:style>
  <w:style w:type="paragraph" w:customStyle="1" w:styleId="251501D22376174DA81A24DAADAD624A">
    <w:name w:val="251501D22376174DA81A24DAADAD624A"/>
  </w:style>
  <w:style w:type="paragraph" w:customStyle="1" w:styleId="A4EBE906B23A9E49A77C87666CB50E48">
    <w:name w:val="A4EBE906B23A9E49A77C87666CB50E48"/>
  </w:style>
  <w:style w:type="paragraph" w:customStyle="1" w:styleId="279697F17C5BD94BB80C77EDCB293FBC">
    <w:name w:val="279697F17C5BD94BB80C77EDCB293FBC"/>
  </w:style>
  <w:style w:type="paragraph" w:customStyle="1" w:styleId="EE7F39D06F40A14BB990BCD84D65DE8D">
    <w:name w:val="EE7F39D06F40A14BB990BCD84D65DE8D"/>
  </w:style>
  <w:style w:type="paragraph" w:customStyle="1" w:styleId="9168D6E4C2EFEA4B9A834972C5926727">
    <w:name w:val="9168D6E4C2EFEA4B9A834972C5926727"/>
  </w:style>
  <w:style w:type="paragraph" w:customStyle="1" w:styleId="9C113AD8B5FFA94BA3303ACBE90AEDD4">
    <w:name w:val="9C113AD8B5FFA94BA3303ACBE90AEDD4"/>
  </w:style>
  <w:style w:type="paragraph" w:customStyle="1" w:styleId="5364B84F4E31A14DB6F391CFDB6C9CB3">
    <w:name w:val="5364B84F4E31A14DB6F391CFDB6C9CB3"/>
  </w:style>
  <w:style w:type="paragraph" w:customStyle="1" w:styleId="115A1EB7841AF4428E68B4025A5E74A9">
    <w:name w:val="115A1EB7841AF4428E68B4025A5E74A9"/>
  </w:style>
  <w:style w:type="paragraph" w:customStyle="1" w:styleId="FA6D39CA92C3AA4C86AF3E6F9B9CBEAB">
    <w:name w:val="FA6D39CA92C3AA4C86AF3E6F9B9CBEAB"/>
  </w:style>
  <w:style w:type="paragraph" w:customStyle="1" w:styleId="93B3D9A5587C294E96DE6607A2A291E0">
    <w:name w:val="93B3D9A5587C294E96DE6607A2A291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DED8D11AFA9C45B72FD49B716B4B1A">
    <w:name w:val="5BDED8D11AFA9C45B72FD49B716B4B1A"/>
  </w:style>
  <w:style w:type="paragraph" w:customStyle="1" w:styleId="251501D22376174DA81A24DAADAD624A">
    <w:name w:val="251501D22376174DA81A24DAADAD624A"/>
  </w:style>
  <w:style w:type="paragraph" w:customStyle="1" w:styleId="A4EBE906B23A9E49A77C87666CB50E48">
    <w:name w:val="A4EBE906B23A9E49A77C87666CB50E48"/>
  </w:style>
  <w:style w:type="paragraph" w:customStyle="1" w:styleId="279697F17C5BD94BB80C77EDCB293FBC">
    <w:name w:val="279697F17C5BD94BB80C77EDCB293FBC"/>
  </w:style>
  <w:style w:type="paragraph" w:customStyle="1" w:styleId="EE7F39D06F40A14BB990BCD84D65DE8D">
    <w:name w:val="EE7F39D06F40A14BB990BCD84D65DE8D"/>
  </w:style>
  <w:style w:type="paragraph" w:customStyle="1" w:styleId="9168D6E4C2EFEA4B9A834972C5926727">
    <w:name w:val="9168D6E4C2EFEA4B9A834972C5926727"/>
  </w:style>
  <w:style w:type="paragraph" w:customStyle="1" w:styleId="9C113AD8B5FFA94BA3303ACBE90AEDD4">
    <w:name w:val="9C113AD8B5FFA94BA3303ACBE90AEDD4"/>
  </w:style>
  <w:style w:type="paragraph" w:customStyle="1" w:styleId="5364B84F4E31A14DB6F391CFDB6C9CB3">
    <w:name w:val="5364B84F4E31A14DB6F391CFDB6C9CB3"/>
  </w:style>
  <w:style w:type="paragraph" w:customStyle="1" w:styleId="115A1EB7841AF4428E68B4025A5E74A9">
    <w:name w:val="115A1EB7841AF4428E68B4025A5E74A9"/>
  </w:style>
  <w:style w:type="paragraph" w:customStyle="1" w:styleId="FA6D39CA92C3AA4C86AF3E6F9B9CBEAB">
    <w:name w:val="FA6D39CA92C3AA4C86AF3E6F9B9CBEAB"/>
  </w:style>
  <w:style w:type="paragraph" w:customStyle="1" w:styleId="93B3D9A5587C294E96DE6607A2A291E0">
    <w:name w:val="93B3D9A5587C294E96DE6607A2A291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Haa00</b:Tag>
    <b:SourceType>JournalArticle</b:SourceType>
    <b:Guid>{548C7E75-3BC9-6849-9393-F3A367696418}</b:Guid>
    <b:Title>Villy og Sørensen: Skitse til genlæsning af et forfatterskab</b:Title>
    <b:JournalName>Kritik</b:JournalName>
    <b:Year>2000</b:Year>
    <b:Volume>143</b:Volume>
    <b:Pages>1-9</b:Pages>
    <b:Author>
      <b:Author>
        <b:NameList>
          <b:Person>
            <b:Last>Haarder</b:Last>
            <b:Middle>Helt</b:Middle>
            <b:First>Jon </b:First>
          </b:Person>
        </b:NameList>
      </b:Author>
    </b:Author>
    <b:RefOrder>1</b:RefOrder>
  </b:Source>
  <b:Source>
    <b:Tag>Haa01</b:Tag>
    <b:SourceType>BookSection</b:SourceType>
    <b:Guid>{C8286380-2D5F-0A4A-8B8B-12D4E9AFA13E}</b:Guid>
    <b:Title>Villy Sørensen</b:Title>
    <b:Publisher>Gas</b:Publisher>
    <b:City>Copenhagen</b:City>
    <b:Year>2001</b:Year>
    <b:Author>
      <b:Author>
        <b:NameList>
          <b:Person>
            <b:Last>Haarder</b:Last>
            <b:Middle>Helt</b:Middle>
            <b:First>Jon</b:First>
          </b:Person>
        </b:NameList>
      </b:Author>
      <b:Editor>
        <b:NameList>
          <b:Person>
            <b:Last>Mai</b:Last>
            <b:First>Anne-Marie</b:First>
          </b:Person>
        </b:NameList>
      </b:Editor>
    </b:Author>
    <b:BookTitle>Danske Digtere I Det 20. Århundrede: Bd. Ii.</b:BookTitle>
    <b:Pages>139-155</b:Pages>
    <b:RefOrder>2</b:RefOrder>
  </b:Source>
  <b:Source>
    <b:Tag>Stø06</b:Tag>
    <b:SourceType>Book</b:SourceType>
    <b:Guid>{BA4D1945-74FD-1D48-AB3D-DB487569826A}</b:Guid>
    <b:Title>Det Etiske Kunstværk: Villy Sørensens Poetik Og Litterære Kritik</b:Title>
    <b:City>Copenhagen</b:City>
    <b:Publisher>Glydendal; Syddansk Universitetsforlag</b:Publisher>
    <b:Year>2006</b:Year>
    <b:Author>
      <b:Author>
        <b:NameList>
          <b:Person>
            <b:Last>Støvring</b:Last>
            <b:First>Kasper</b:First>
          </b:Person>
        </b:NameList>
      </b:Author>
    </b:Author>
    <b:RefOrder>5</b:RefOrder>
  </b:Source>
  <b:Source>
    <b:Tag>Stø11</b:Tag>
    <b:SourceType>Book</b:SourceType>
    <b:Guid>{049C9EFF-F0DA-E94A-952E-FB7665584077}</b:Guid>
    <b:Title>Villy Sørensen Og Kulturkonservatismen</b:Title>
    <b:City>Copenhagen</b:City>
    <b:Publisher>Informations Forlag</b:Publisher>
    <b:Year>2011</b:Year>
    <b:Author>
      <b:Author>
        <b:NameList>
          <b:Person>
            <b:Last>Støvring</b:Last>
            <b:First>Kasper</b:First>
          </b:Person>
        </b:NameList>
      </b:Author>
    </b:Author>
    <b:RefOrder>6</b:RefOrder>
  </b:Source>
  <b:Source>
    <b:Tag>Øhr04</b:Tag>
    <b:SourceType>Book</b:SourceType>
    <b:Guid>{141EBF68-BD5C-6849-9897-12D1FB4206D7}</b:Guid>
    <b:Title>Med Villy I Midten: 28 Vidnesbyrd Om Villy Sørensen</b:Title>
    <b:City>Copenhagen</b:City>
    <b:Publisher>Gyldendal</b:Publisher>
    <b:Year>2004</b:Year>
    <b:Author>
      <b:Author>
        <b:NameList>
          <b:Person>
            <b:Last>Øhrgaard</b:Last>
            <b:First>Per</b:First>
          </b:Person>
        </b:NameList>
      </b:Author>
    </b:Author>
    <b:RefOrder>4</b:RefOrder>
  </b:Source>
  <b:Source>
    <b:Tag>Øhr01</b:Tag>
    <b:SourceType>InternetSite</b:SourceType>
    <b:Guid>{8ABE5499-B95C-6F41-9029-B306901BA15A}</b:Guid>
    <b:Title>Villy Sørensen </b:Title>
    <b:Year>2001</b:Year>
    <b:InternetSiteTitle>forfatterweb</b:InternetSiteTitle>
    <b:URL>http://www.forfatterweb.dk/forfatterweb/oversigt/sorensen-villy</b:URL>
    <b:YearAccessed>2014</b:YearAccessed>
    <b:MonthAccessed>12 </b:MonthAccessed>
    <b:DayAccessed>12</b:DayAccessed>
    <b:Author>
      <b:Author>
        <b:NameList>
          <b:Person>
            <b:Last>Øhrgaard</b:Last>
            <b:First>Per 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0634BC46-C27E-C04B-BCFF-FCC6BD86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3</Pages>
  <Words>866</Words>
  <Characters>4940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2014-12-13T05:47:00Z</dcterms:created>
  <dcterms:modified xsi:type="dcterms:W3CDTF">2014-12-13T05:47:00Z</dcterms:modified>
</cp:coreProperties>
</file>