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7C35EB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7C35EB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7C35EB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7C35EB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Content>
            <w:tc>
              <w:tcPr>
                <w:tcW w:w="2073" w:type="dxa"/>
              </w:tcPr>
              <w:p w:rsidR="00B574C9" w:rsidRPr="007C35EB" w:rsidRDefault="00251B92" w:rsidP="00251B92">
                <w:r w:rsidRPr="007C35EB"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Pr="007C35EB" w:rsidRDefault="00B574C9" w:rsidP="00922950">
                <w:r w:rsidRPr="007C35EB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Content>
            <w:tc>
              <w:tcPr>
                <w:tcW w:w="2642" w:type="dxa"/>
              </w:tcPr>
              <w:p w:rsidR="00B574C9" w:rsidRPr="007C35EB" w:rsidRDefault="00251B92" w:rsidP="00251B92">
                <w:r w:rsidRPr="007C35EB">
                  <w:t>Kessler</w:t>
                </w:r>
              </w:p>
            </w:tc>
          </w:sdtContent>
        </w:sdt>
      </w:tr>
      <w:tr w:rsidR="00B574C9" w:rsidRPr="007C35EB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Pr="007C35EB" w:rsidRDefault="00B574C9" w:rsidP="00922950">
                <w:r w:rsidRPr="007C35EB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7C35EB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7C35EB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Pr="007C35EB" w:rsidRDefault="00B574C9" w:rsidP="00B574C9">
                <w:r w:rsidRPr="007C35EB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7C35EB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7C35EB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7C35EB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7C35EB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7C35EB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7C35EB" w:rsidRDefault="00251B92" w:rsidP="00251B92">
                <w:r w:rsidRPr="007C35EB">
                  <w:t>Segal, Arthur (1875-1944)</w:t>
                </w:r>
              </w:p>
            </w:tc>
          </w:sdtContent>
        </w:sdt>
      </w:tr>
      <w:tr w:rsidR="00464699" w:rsidRPr="007C35EB" w:rsidTr="000A4211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7C35EB" w:rsidRDefault="00464699" w:rsidP="00464699">
                <w:r w:rsidRPr="007C35EB">
                  <w:rPr>
                    <w:rStyle w:val="PlaceholderText"/>
                    <w:b/>
                  </w:rPr>
                  <w:t xml:space="preserve">[Enter any </w:t>
                </w:r>
                <w:r w:rsidRPr="007C35EB">
                  <w:rPr>
                    <w:rStyle w:val="PlaceholderText"/>
                    <w:b/>
                    <w:i/>
                  </w:rPr>
                  <w:t>variant forms</w:t>
                </w:r>
                <w:r w:rsidRPr="007C35EB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7C35EB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7C35EB" w:rsidRDefault="00251B92" w:rsidP="006C7EB5">
                <w:pPr>
                  <w:rPr>
                    <w:bCs/>
                  </w:rPr>
                </w:pPr>
                <w:r w:rsidRPr="007C35EB">
                  <w:t>Arthur Segal was a Romanian artist born to Jewish parents as</w:t>
                </w:r>
                <w:r w:rsidR="000A4211" w:rsidRPr="007C35EB">
                  <w:t xml:space="preserve"> </w:t>
                </w:r>
                <w:proofErr w:type="spellStart"/>
                <w:r w:rsidR="000A4211" w:rsidRPr="007C35EB">
                  <w:t>Aron</w:t>
                </w:r>
                <w:proofErr w:type="spellEnd"/>
                <w:r w:rsidR="000A4211" w:rsidRPr="007C35EB">
                  <w:t xml:space="preserve"> </w:t>
                </w:r>
                <w:proofErr w:type="spellStart"/>
                <w:r w:rsidR="000A4211" w:rsidRPr="007C35EB">
                  <w:t>Sigalu</w:t>
                </w:r>
                <w:proofErr w:type="spellEnd"/>
                <w:r w:rsidR="000A4211" w:rsidRPr="007C35EB">
                  <w:t>. He turned from a p</w:t>
                </w:r>
                <w:r w:rsidRPr="007C35EB">
                  <w:t xml:space="preserve">ost-impressionist modernism around 1900 to radical avant-garde stances in the early 1920s, and then </w:t>
                </w:r>
                <w:proofErr w:type="gramStart"/>
                <w:r w:rsidRPr="007C35EB">
                  <w:t>back</w:t>
                </w:r>
                <w:proofErr w:type="gramEnd"/>
                <w:r w:rsidRPr="007C35EB">
                  <w:t xml:space="preserve"> to a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7C35EB">
                  <w:t>Hölzel</w:t>
                </w:r>
                <w:proofErr w:type="spellEnd"/>
                <w:r w:rsidRPr="007C35EB">
                  <w:t xml:space="preserve"> (founder of the art colony </w:t>
                </w:r>
                <w:proofErr w:type="spellStart"/>
                <w:r w:rsidRPr="007C35EB">
                  <w:rPr>
                    <w:i/>
                  </w:rPr>
                  <w:t>Neues</w:t>
                </w:r>
                <w:proofErr w:type="spellEnd"/>
                <w:r w:rsidRPr="007C35EB">
                  <w:rPr>
                    <w:i/>
                  </w:rPr>
                  <w:t xml:space="preserve"> Dachau</w:t>
                </w:r>
                <w:r w:rsidRPr="007C35EB">
                  <w:t>); his work was shap</w:t>
                </w:r>
                <w:r w:rsidR="007C35EB" w:rsidRPr="007C35EB">
                  <w:t xml:space="preserve">ed by </w:t>
                </w:r>
                <w:proofErr w:type="spellStart"/>
                <w:r w:rsidR="007C35EB" w:rsidRPr="007C35EB">
                  <w:t>Hölzel’s</w:t>
                </w:r>
                <w:proofErr w:type="spellEnd"/>
                <w:r w:rsidR="007C35EB" w:rsidRPr="007C35EB">
                  <w:t xml:space="preserve"> colour theory </w:t>
                </w:r>
                <w:r w:rsidR="007C35EB" w:rsidRPr="007C35EB">
                  <w:softHyphen/>
                  <w:t xml:space="preserve">– </w:t>
                </w:r>
                <w:r w:rsidRPr="007C35EB">
                  <w:t>formally structuring landscapes as decorative grids rather than phenomenal transcripts of ocular perception. In 1902-03 he visited Italy and France</w:t>
                </w:r>
                <w:r w:rsidR="006C7EB5">
                  <w:t>. There</w:t>
                </w:r>
                <w:r w:rsidRPr="007C35EB">
                  <w:t xml:space="preserve"> he was influenced by </w:t>
                </w:r>
                <w:r w:rsidR="006C7EB5">
                  <w:t xml:space="preserve">the work of </w:t>
                </w:r>
                <w:r w:rsidRPr="007C35EB">
                  <w:t xml:space="preserve">Van Gogh and </w:t>
                </w:r>
                <w:proofErr w:type="spellStart"/>
                <w:r w:rsidRPr="007C35EB">
                  <w:t>Segantini</w:t>
                </w:r>
                <w:proofErr w:type="spellEnd"/>
                <w:r w:rsidRPr="007C35EB">
                  <w:t xml:space="preserve">, whose naturalism and light-seeking divisionism he appropriated. He exhibited with the </w:t>
                </w:r>
                <w:r w:rsidRPr="007C35EB">
                  <w:rPr>
                    <w:i/>
                  </w:rPr>
                  <w:t>Berliner Secession</w:t>
                </w:r>
                <w:r w:rsidRPr="007C35EB">
                  <w:t xml:space="preserve"> from 1909 onward, and co-founded the </w:t>
                </w:r>
                <w:proofErr w:type="spellStart"/>
                <w:r w:rsidRPr="007C35EB">
                  <w:rPr>
                    <w:i/>
                  </w:rPr>
                  <w:t>Neue</w:t>
                </w:r>
                <w:proofErr w:type="spellEnd"/>
                <w:r w:rsidRPr="007C35EB">
                  <w:rPr>
                    <w:i/>
                  </w:rPr>
                  <w:t xml:space="preserve"> Secession</w:t>
                </w:r>
                <w:r w:rsidRPr="007C35EB">
                  <w:t xml:space="preserve"> in 1910. Segal remained connected to the Romanian art scene, exhibiting with the </w:t>
                </w:r>
                <w:proofErr w:type="spellStart"/>
                <w:r w:rsidRPr="007C35EB">
                  <w:rPr>
                    <w:i/>
                  </w:rPr>
                  <w:t>Tinerimea</w:t>
                </w:r>
                <w:proofErr w:type="spellEnd"/>
                <w:r w:rsidRPr="007C35EB">
                  <w:rPr>
                    <w:i/>
                  </w:rPr>
                  <w:t xml:space="preserve"> </w:t>
                </w:r>
                <w:proofErr w:type="spellStart"/>
                <w:r w:rsidRPr="007C35EB">
                  <w:rPr>
                    <w:i/>
                  </w:rPr>
                  <w:t>Artistica</w:t>
                </w:r>
                <w:proofErr w:type="spellEnd"/>
                <w:r w:rsidRPr="007C35EB">
                  <w:t xml:space="preserve"> group in 1910-13. His 1910 Bucharest exhibition was heralded as ‘the first exhibition of modern art’ in Romania. </w:t>
                </w:r>
                <w:r w:rsidRPr="007C35EB">
                  <w:rPr>
                    <w:bCs/>
                  </w:rPr>
                  <w:t xml:space="preserve">In 1914 Segal moved to </w:t>
                </w:r>
                <w:proofErr w:type="spellStart"/>
                <w:r w:rsidRPr="007C35EB">
                  <w:rPr>
                    <w:bCs/>
                  </w:rPr>
                  <w:t>Ascona</w:t>
                </w:r>
                <w:proofErr w:type="spellEnd"/>
                <w:r w:rsidRPr="007C35EB">
                  <w:rPr>
                    <w:bCs/>
                  </w:rPr>
                  <w:t xml:space="preserve">, Switzerland, where he met Hans Arp, Hugo Ball, and Alexei </w:t>
                </w:r>
                <w:proofErr w:type="spellStart"/>
                <w:r w:rsidRPr="007C35EB">
                  <w:rPr>
                    <w:bCs/>
                  </w:rPr>
                  <w:t>Jawlensk</w:t>
                </w:r>
                <w:r w:rsidR="007C35EB" w:rsidRPr="007C35EB">
                  <w:rPr>
                    <w:bCs/>
                  </w:rPr>
                  <w:t>y</w:t>
                </w:r>
                <w:proofErr w:type="spellEnd"/>
                <w:r w:rsidR="007C35EB" w:rsidRPr="007C35EB">
                  <w:rPr>
                    <w:bCs/>
                  </w:rPr>
                  <w:t xml:space="preserve"> – </w:t>
                </w:r>
                <w:r w:rsidRPr="007C35EB">
                  <w:rPr>
                    <w:bCs/>
                  </w:rPr>
                  <w:t xml:space="preserve">linked with the </w:t>
                </w:r>
                <w:r w:rsidRPr="007C35EB">
                  <w:rPr>
                    <w:bCs/>
                    <w:i/>
                  </w:rPr>
                  <w:t xml:space="preserve">Monte </w:t>
                </w:r>
                <w:proofErr w:type="spellStart"/>
                <w:r w:rsidRPr="007C35EB">
                  <w:rPr>
                    <w:bCs/>
                    <w:i/>
                  </w:rPr>
                  <w:t>Verita</w:t>
                </w:r>
                <w:proofErr w:type="spellEnd"/>
                <w:r w:rsidR="002A7F79" w:rsidRPr="007C35EB">
                  <w:rPr>
                    <w:bCs/>
                  </w:rPr>
                  <w:t xml:space="preserve"> community; there he</w:t>
                </w:r>
                <w:r w:rsidRPr="007C35EB">
                  <w:rPr>
                    <w:bCs/>
                  </w:rPr>
                  <w:t xml:space="preserve"> began to focus on natural harmony in art and life. In 1916 Segal exhibited at </w:t>
                </w:r>
                <w:r w:rsidRPr="007C35EB">
                  <w:rPr>
                    <w:bCs/>
                    <w:i/>
                  </w:rPr>
                  <w:t>Cabaret Voltaire</w:t>
                </w:r>
                <w:r w:rsidRPr="007C35EB">
                  <w:rPr>
                    <w:bCs/>
                  </w:rPr>
                  <w:t xml:space="preserve"> alongside fellow Romanian Dadaists Tristan </w:t>
                </w:r>
                <w:proofErr w:type="spellStart"/>
                <w:r w:rsidRPr="007C35EB">
                  <w:rPr>
                    <w:bCs/>
                  </w:rPr>
                  <w:t>Tzara</w:t>
                </w:r>
                <w:proofErr w:type="spellEnd"/>
                <w:r w:rsidRPr="007C35EB">
                  <w:rPr>
                    <w:bCs/>
                  </w:rPr>
                  <w:t xml:space="preserve"> and Marcel </w:t>
                </w:r>
                <w:proofErr w:type="spellStart"/>
                <w:r w:rsidRPr="007C35EB">
                  <w:rPr>
                    <w:bCs/>
                  </w:rPr>
                  <w:t>Janco</w:t>
                </w:r>
                <w:proofErr w:type="spellEnd"/>
                <w:r w:rsidRPr="007C35EB">
                  <w:rPr>
                    <w:bCs/>
                  </w:rPr>
                  <w:t>.</w:t>
                </w:r>
                <w:r w:rsidRPr="007C35EB">
                  <w:t xml:space="preserve"> In 1919 he joined the </w:t>
                </w:r>
                <w:proofErr w:type="spellStart"/>
                <w:r w:rsidRPr="007C35EB">
                  <w:rPr>
                    <w:i/>
                  </w:rPr>
                  <w:t>Novembergruppe</w:t>
                </w:r>
                <w:proofErr w:type="spellEnd"/>
                <w:r w:rsidRPr="007C35EB">
                  <w:rPr>
                    <w:i/>
                  </w:rPr>
                  <w:t xml:space="preserve">, </w:t>
                </w:r>
                <w:r w:rsidRPr="007C35EB">
                  <w:t>becoming one of its leaders.</w:t>
                </w:r>
              </w:p>
            </w:tc>
          </w:sdtContent>
        </w:sdt>
      </w:tr>
      <w:tr w:rsidR="003F0D73" w:rsidRPr="007C35EB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178387882"/>
                <w:placeholder>
                  <w:docPart w:val="4F74D3515626704283D7E17BBBDBF4F4"/>
                </w:placeholder>
              </w:sdtPr>
              <w:sdtEndPr>
                <w:rPr>
                  <w:color w:val="auto"/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sdt>
                    <w:sdtPr>
                      <w:alias w:val="Abstract"/>
                      <w:tag w:val="abstract"/>
                      <w:id w:val="-33813368"/>
                      <w:placeholder>
                        <w:docPart w:val="2573447C1C54A045909C800AC9EE7AA5"/>
                      </w:placeholder>
                    </w:sdtPr>
                    <w:sdtContent>
                      <w:p w:rsidR="007C35EB" w:rsidRPr="007C35EB" w:rsidRDefault="007C35EB" w:rsidP="00251B92">
                        <w:r w:rsidRPr="007C35EB">
                          <w:t xml:space="preserve">Arthur Segal was a Romanian artist born to Jewish parents as </w:t>
                        </w:r>
                        <w:proofErr w:type="spellStart"/>
                        <w:r w:rsidRPr="007C35EB">
                          <w:t>Aron</w:t>
                        </w:r>
                        <w:proofErr w:type="spellEnd"/>
                        <w:r w:rsidRPr="007C35EB">
                          <w:t xml:space="preserve"> </w:t>
                        </w:r>
                        <w:proofErr w:type="spellStart"/>
                        <w:r w:rsidRPr="007C35EB">
                          <w:t>Sigalu</w:t>
                        </w:r>
                        <w:proofErr w:type="spellEnd"/>
                        <w:r w:rsidRPr="007C35EB">
                          <w:t xml:space="preserve">. He turned from a post-impressionist modernism around 1900 to radical avant-garde stances in the early 1920s, and then </w:t>
                        </w:r>
                        <w:proofErr w:type="gramStart"/>
                        <w:r w:rsidRPr="007C35EB">
                          <w:t>back</w:t>
                        </w:r>
                        <w:proofErr w:type="gramEnd"/>
                        <w:r w:rsidRPr="007C35EB">
                          <w:t xml:space="preserve"> to a classicising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        </w:r>
                        <w:proofErr w:type="spellStart"/>
                        <w:r w:rsidRPr="007C35EB">
                          <w:t>Hölzel</w:t>
                        </w:r>
                        <w:proofErr w:type="spellEnd"/>
                        <w:r w:rsidRPr="007C35EB">
                          <w:t xml:space="preserve"> (founder of the art colony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Neues</w:t>
                        </w:r>
                        <w:proofErr w:type="spellEnd"/>
                        <w:r w:rsidRPr="007C35EB">
                          <w:rPr>
                            <w:i/>
                          </w:rPr>
                          <w:t xml:space="preserve"> Dachau</w:t>
                        </w:r>
                        <w:r w:rsidRPr="007C35EB">
                          <w:t xml:space="preserve">); his work was shaped by </w:t>
                        </w:r>
                        <w:proofErr w:type="spellStart"/>
                        <w:r w:rsidRPr="007C35EB">
                          <w:t>Hölzel’s</w:t>
                        </w:r>
                        <w:proofErr w:type="spellEnd"/>
                        <w:r w:rsidRPr="007C35EB">
                          <w:t xml:space="preserve"> colour theory </w:t>
                        </w:r>
                        <w:r w:rsidRPr="007C35EB">
                          <w:softHyphen/>
                          <w:t>– formally structuring landscapes as decorative grids rather than phenomenal transcripts of ocular perception. In 1902-03 he visited Italy and France</w:t>
                        </w:r>
                        <w:r w:rsidR="006C7EB5">
                          <w:t xml:space="preserve">. There </w:t>
                        </w:r>
                        <w:r w:rsidRPr="007C35EB">
                          <w:t>he was influenced by</w:t>
                        </w:r>
                        <w:r w:rsidR="006C7EB5">
                          <w:t xml:space="preserve"> the work of</w:t>
                        </w:r>
                        <w:r w:rsidRPr="007C35EB">
                          <w:t xml:space="preserve"> Van Gogh and </w:t>
                        </w:r>
                        <w:proofErr w:type="spellStart"/>
                        <w:r w:rsidRPr="007C35EB">
                          <w:t>Segantini</w:t>
                        </w:r>
                        <w:proofErr w:type="spellEnd"/>
                        <w:r w:rsidRPr="007C35EB">
                          <w:t xml:space="preserve">, whose naturalism and light-seeking divisionism he appropriated. He exhibited with the </w:t>
                        </w:r>
                        <w:r w:rsidRPr="007C35EB">
                          <w:rPr>
                            <w:i/>
                          </w:rPr>
                          <w:t>Berliner Secession</w:t>
                        </w:r>
                        <w:r w:rsidRPr="007C35EB">
                          <w:t xml:space="preserve"> from 1909 onward, and co-founded the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Neue</w:t>
                        </w:r>
                        <w:proofErr w:type="spellEnd"/>
                        <w:r w:rsidRPr="007C35EB">
                          <w:rPr>
                            <w:i/>
                          </w:rPr>
                          <w:t xml:space="preserve"> Secession</w:t>
                        </w:r>
                        <w:r w:rsidRPr="007C35EB">
                          <w:t xml:space="preserve"> in 1910. Segal remained connected to the Romanian art scene, exhibiting with the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Tinerimea</w:t>
                        </w:r>
                        <w:proofErr w:type="spellEnd"/>
                        <w:r w:rsidRPr="007C35EB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Artistica</w:t>
                        </w:r>
                        <w:proofErr w:type="spellEnd"/>
                        <w:r w:rsidRPr="007C35EB">
                          <w:t xml:space="preserve"> group in 1910-13. His 1910 Bucharest exhibition was heralded as ‘the first exhibition of modern art’ in Romania. </w:t>
                        </w:r>
                        <w:r w:rsidRPr="007C35EB">
                          <w:rPr>
                            <w:bCs/>
                          </w:rPr>
                          <w:t xml:space="preserve">In 1914 Segal moved to </w:t>
                        </w:r>
                        <w:proofErr w:type="spellStart"/>
                        <w:r w:rsidRPr="007C35EB">
                          <w:rPr>
                            <w:bCs/>
                          </w:rPr>
                          <w:t>Ascona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, Switzerland, where he met Hans Arp, Hugo Ball, and Alexei </w:t>
                        </w:r>
                        <w:proofErr w:type="spellStart"/>
                        <w:r w:rsidRPr="007C35EB">
                          <w:rPr>
                            <w:bCs/>
                          </w:rPr>
                          <w:t>Jawlensky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– linked with the </w:t>
                        </w:r>
                        <w:r w:rsidRPr="007C35EB">
                          <w:rPr>
                            <w:bCs/>
                            <w:i/>
                          </w:rPr>
                          <w:t xml:space="preserve">Monte </w:t>
                        </w:r>
                        <w:proofErr w:type="spellStart"/>
                        <w:r w:rsidRPr="007C35EB">
                          <w:rPr>
                            <w:bCs/>
                            <w:i/>
                          </w:rPr>
                          <w:t>Verita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community; there he began to focus on natural harmony in art and life. In 1916 Segal exhibited at </w:t>
                        </w:r>
                        <w:r w:rsidRPr="007C35EB">
                          <w:rPr>
                            <w:bCs/>
                            <w:i/>
                          </w:rPr>
                          <w:t>Cabaret Voltaire</w:t>
                        </w:r>
                        <w:r w:rsidRPr="007C35EB">
                          <w:rPr>
                            <w:bCs/>
                          </w:rPr>
                          <w:t xml:space="preserve"> alongside fellow Romanian Dadaists Tristan </w:t>
                        </w:r>
                        <w:proofErr w:type="spellStart"/>
                        <w:r w:rsidRPr="007C35EB">
                          <w:rPr>
                            <w:bCs/>
                          </w:rPr>
                          <w:t>Tzara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 xml:space="preserve"> and Marcel </w:t>
                        </w:r>
                        <w:proofErr w:type="spellStart"/>
                        <w:r w:rsidRPr="007C35EB">
                          <w:rPr>
                            <w:bCs/>
                          </w:rPr>
                          <w:t>Janco</w:t>
                        </w:r>
                        <w:proofErr w:type="spellEnd"/>
                        <w:r w:rsidRPr="007C35EB">
                          <w:rPr>
                            <w:bCs/>
                          </w:rPr>
                          <w:t>.</w:t>
                        </w:r>
                        <w:r w:rsidRPr="007C35EB">
                          <w:t xml:space="preserve"> In 1919 he joined the </w:t>
                        </w:r>
                        <w:proofErr w:type="spellStart"/>
                        <w:r w:rsidRPr="007C35EB">
                          <w:rPr>
                            <w:i/>
                          </w:rPr>
                          <w:t>Novembergruppe</w:t>
                        </w:r>
                        <w:proofErr w:type="spellEnd"/>
                        <w:r w:rsidRPr="007C35EB">
                          <w:rPr>
                            <w:i/>
                          </w:rPr>
                          <w:t xml:space="preserve">, </w:t>
                        </w:r>
                        <w:r w:rsidRPr="007C35EB">
                          <w:t>becoming one of its leaders.</w:t>
                        </w:r>
                      </w:p>
                    </w:sdtContent>
                  </w:sdt>
                  <w:p w:rsidR="00251B92" w:rsidRPr="007C35EB" w:rsidRDefault="002A7F79" w:rsidP="00251B92">
                    <w:pPr>
                      <w:rPr>
                        <w:bCs/>
                      </w:rPr>
                    </w:pPr>
                    <w:r w:rsidRPr="007C35EB">
                      <w:rPr>
                        <w:bCs/>
                      </w:rPr>
                      <w:lastRenderedPageBreak/>
                      <w:t>I</w:t>
                    </w:r>
                    <w:r w:rsidR="00251B92" w:rsidRPr="007C35EB">
                      <w:rPr>
                        <w:bCs/>
                      </w:rPr>
                      <w:t xml:space="preserve">n addition to </w:t>
                    </w:r>
                    <w:r w:rsidR="007C35EB">
                      <w:t>his own readings of Goethe</w:t>
                    </w:r>
                    <w:r w:rsidR="007C35EB" w:rsidRPr="007C35EB">
                      <w:t xml:space="preserve"> </w:t>
                    </w:r>
                    <w:r w:rsidR="007C35EB">
                      <w:t xml:space="preserve">and </w:t>
                    </w:r>
                    <w:proofErr w:type="spellStart"/>
                    <w:r w:rsidR="007C35EB" w:rsidRPr="007C35EB">
                      <w:t>Hölzel’s</w:t>
                    </w:r>
                    <w:proofErr w:type="spellEnd"/>
                    <w:r w:rsidR="007C35EB" w:rsidRPr="007C35EB">
                      <w:t xml:space="preserve"> colo</w:t>
                    </w:r>
                    <w:r w:rsidR="007C35EB">
                      <w:t>u</w:t>
                    </w:r>
                    <w:r w:rsidR="007C35EB" w:rsidRPr="007C35EB">
                      <w:t>r theories</w:t>
                    </w:r>
                    <w:r w:rsidR="007C35EB">
                      <w:t xml:space="preserve">, </w:t>
                    </w:r>
                    <w:r w:rsidR="006C7EB5">
                      <w:rPr>
                        <w:bCs/>
                      </w:rPr>
                      <w:t>cubism</w:t>
                    </w:r>
                    <w:r w:rsidRPr="007C35EB">
                      <w:rPr>
                        <w:bCs/>
                      </w:rPr>
                      <w:t>, orphism, and f</w:t>
                    </w:r>
                    <w:r w:rsidR="00251B92" w:rsidRPr="007C35EB">
                      <w:rPr>
                        <w:bCs/>
                      </w:rPr>
                      <w:t>uturis</w:t>
                    </w:r>
                    <w:r w:rsidR="006C7EB5">
                      <w:rPr>
                        <w:bCs/>
                      </w:rPr>
                      <w:t>m</w:t>
                    </w:r>
                    <w:r w:rsidR="007C35EB">
                      <w:rPr>
                        <w:bCs/>
                      </w:rPr>
                      <w:t xml:space="preserve">; </w:t>
                    </w:r>
                    <w:r w:rsidR="007C35EB" w:rsidRPr="007C35EB">
                      <w:rPr>
                        <w:bCs/>
                      </w:rPr>
                      <w:t xml:space="preserve">the </w:t>
                    </w:r>
                    <w:r w:rsidR="007C35EB" w:rsidRPr="007C35EB">
                      <w:rPr>
                        <w:bCs/>
                        <w:i/>
                      </w:rPr>
                      <w:t xml:space="preserve">Monte </w:t>
                    </w:r>
                    <w:proofErr w:type="spellStart"/>
                    <w:r w:rsidR="007C35EB" w:rsidRPr="007C35EB">
                      <w:rPr>
                        <w:bCs/>
                        <w:i/>
                      </w:rPr>
                      <w:t>Verita</w:t>
                    </w:r>
                    <w:proofErr w:type="spellEnd"/>
                    <w:r w:rsidR="007C35EB" w:rsidRPr="007C35EB">
                      <w:rPr>
                        <w:bCs/>
                      </w:rPr>
                      <w:t xml:space="preserve"> eco-</w:t>
                    </w:r>
                    <w:proofErr w:type="spellStart"/>
                    <w:r w:rsidR="007C35EB" w:rsidRPr="007C35EB">
                      <w:rPr>
                        <w:bCs/>
                      </w:rPr>
                      <w:t>sophic</w:t>
                    </w:r>
                    <w:proofErr w:type="spellEnd"/>
                    <w:r w:rsidR="007C35EB" w:rsidRPr="007C35EB">
                      <w:rPr>
                        <w:bCs/>
                      </w:rPr>
                      <w:t xml:space="preserve"> gnosis</w:t>
                    </w:r>
                    <w:r w:rsidR="007C35EB">
                      <w:rPr>
                        <w:bCs/>
                      </w:rPr>
                      <w:t>;</w:t>
                    </w:r>
                    <w:r w:rsidR="007C35EB" w:rsidRPr="007C35EB">
                      <w:rPr>
                        <w:bCs/>
                      </w:rPr>
                      <w:t xml:space="preserve"> and </w:t>
                    </w:r>
                    <w:proofErr w:type="spellStart"/>
                    <w:r w:rsidR="007C35EB" w:rsidRPr="007C35EB">
                      <w:rPr>
                        <w:bCs/>
                      </w:rPr>
                      <w:t>dadaist</w:t>
                    </w:r>
                    <w:proofErr w:type="spellEnd"/>
                    <w:r w:rsidR="007C35EB" w:rsidRPr="007C35EB">
                      <w:rPr>
                        <w:bCs/>
                      </w:rPr>
                      <w:t xml:space="preserve"> u</w:t>
                    </w:r>
                    <w:r w:rsidR="007C35EB">
                      <w:rPr>
                        <w:bCs/>
                      </w:rPr>
                      <w:t>pheavals</w:t>
                    </w:r>
                    <w:r w:rsidR="00251B92" w:rsidRPr="007C35EB">
                      <w:rPr>
                        <w:bCs/>
                      </w:rPr>
                      <w:t xml:space="preserve"> </w:t>
                    </w:r>
                    <w:r w:rsidR="007C35EB">
                      <w:rPr>
                        <w:bCs/>
                      </w:rPr>
                      <w:t xml:space="preserve">all </w:t>
                    </w:r>
                    <w:r w:rsidR="00251B92" w:rsidRPr="007C35EB">
                      <w:rPr>
                        <w:bCs/>
                      </w:rPr>
                      <w:t>contributed to Segal’s a</w:t>
                    </w:r>
                    <w:r w:rsidR="006C7EB5">
                      <w:rPr>
                        <w:bCs/>
                      </w:rPr>
                      <w:t xml:space="preserve">esthetic-speculative synthesis – </w:t>
                    </w:r>
                    <w:r w:rsidR="00251B92" w:rsidRPr="007C35EB">
                      <w:rPr>
                        <w:bCs/>
                      </w:rPr>
                      <w:t>an ‘optical equivalence’ (</w:t>
                    </w:r>
                    <w:proofErr w:type="spellStart"/>
                    <w:r w:rsidR="00251B92" w:rsidRPr="007C35EB">
                      <w:rPr>
                        <w:bCs/>
                        <w:i/>
                      </w:rPr>
                      <w:t>optische</w:t>
                    </w:r>
                    <w:proofErr w:type="spellEnd"/>
                    <w:r w:rsidR="00251B92" w:rsidRPr="007C35EB">
                      <w:rPr>
                        <w:bCs/>
                        <w:i/>
                      </w:rPr>
                      <w:t xml:space="preserve"> </w:t>
                    </w:r>
                    <w:proofErr w:type="spellStart"/>
                    <w:r w:rsidR="00251B92" w:rsidRPr="007C35EB">
                      <w:rPr>
                        <w:bCs/>
                        <w:i/>
                      </w:rPr>
                      <w:t>Gleichwertigkeit</w:t>
                    </w:r>
                    <w:proofErr w:type="spellEnd"/>
                    <w:r w:rsidR="006C7EB5">
                      <w:rPr>
                        <w:bCs/>
                      </w:rPr>
                      <w:t>) –</w:t>
                    </w:r>
                    <w:r w:rsidR="00251B92" w:rsidRPr="007C35EB">
                      <w:rPr>
                        <w:bCs/>
                      </w:rPr>
                      <w:t xml:space="preserve"> which he developed around 1917. Facing anarchy and the chaos of WWI, he responded with his theory of hierarchy and dominance in art and society. Segal opposed indi</w:t>
                    </w:r>
                    <w:r w:rsidR="006C7EB5">
                      <w:rPr>
                        <w:bCs/>
                      </w:rPr>
                      <w:t xml:space="preserve">vidualist, subjective art </w:t>
                    </w:r>
                    <w:r w:rsidR="00251B92" w:rsidRPr="007C35EB">
                      <w:rPr>
                        <w:bCs/>
                      </w:rPr>
                      <w:t xml:space="preserve">springing from </w:t>
                    </w:r>
                    <w:r w:rsidR="006C7EB5">
                      <w:rPr>
                        <w:bCs/>
                      </w:rPr>
                      <w:t xml:space="preserve">a central point of power as </w:t>
                    </w:r>
                    <w:r w:rsidR="00251B92" w:rsidRPr="007C35EB">
                      <w:rPr>
                        <w:bCs/>
                      </w:rPr>
                      <w:t>anti-</w:t>
                    </w:r>
                    <w:r w:rsidR="006C7EB5" w:rsidRPr="007C35EB">
                      <w:rPr>
                        <w:bCs/>
                      </w:rPr>
                      <w:t>colle</w:t>
                    </w:r>
                    <w:r w:rsidR="006C7EB5">
                      <w:rPr>
                        <w:bCs/>
                      </w:rPr>
                      <w:t>ctivist and anti-social symbol.</w:t>
                    </w:r>
                    <w:r w:rsidR="00251B92" w:rsidRPr="007C35EB">
                      <w:rPr>
                        <w:bCs/>
                      </w:rPr>
                      <w:t xml:space="preserve"> His leftist ideals </w:t>
                    </w:r>
                    <w:r w:rsidR="007C35EB" w:rsidRPr="007C35EB">
                      <w:rPr>
                        <w:bCs/>
                      </w:rPr>
                      <w:t>permeated</w:t>
                    </w:r>
                    <w:r w:rsidR="00251B92" w:rsidRPr="007C35EB">
                      <w:rPr>
                        <w:bCs/>
                      </w:rPr>
                      <w:t xml:space="preserve"> the very structure of his works, although the iconography remained traditional (landscapes, interiors).</w:t>
                    </w:r>
                    <w:r w:rsidR="00251B92" w:rsidRPr="007C35EB">
                      <w:t xml:space="preserve"> </w:t>
                    </w:r>
                    <w:r w:rsidR="00251B92" w:rsidRPr="007C35EB">
                      <w:rPr>
                        <w:bCs/>
                      </w:rPr>
                      <w:t xml:space="preserve">In his work, Segal set a raster onto the canvases, </w:t>
                    </w:r>
                    <w:r w:rsidR="006C7EB5">
                      <w:rPr>
                        <w:bCs/>
                      </w:rPr>
                      <w:t xml:space="preserve">‘democratically’ </w:t>
                    </w:r>
                    <w:r w:rsidR="00251B92" w:rsidRPr="007C35EB">
                      <w:rPr>
                        <w:bCs/>
                      </w:rPr>
                      <w:t>distributing the co</w:t>
                    </w:r>
                    <w:r w:rsidR="006C7EB5">
                      <w:rPr>
                        <w:bCs/>
                      </w:rPr>
                      <w:t xml:space="preserve">lours as prismatic tonal units </w:t>
                    </w:r>
                    <w:r w:rsidR="00251B92" w:rsidRPr="007C35EB">
                      <w:rPr>
                        <w:bCs/>
                      </w:rPr>
                      <w:t>in a glissando of contrasts, from darkness to light, as derived f</w:t>
                    </w:r>
                    <w:r w:rsidR="006C7EB5">
                      <w:rPr>
                        <w:bCs/>
                      </w:rPr>
                      <w:t>rom Schopenhauer’s equivalence</w:t>
                    </w:r>
                    <w:r w:rsidR="00251B92" w:rsidRPr="007C35EB">
                      <w:rPr>
                        <w:bCs/>
                      </w:rPr>
                      <w:t xml:space="preserve"> theory.</w:t>
                    </w:r>
                  </w:p>
                  <w:p w:rsidR="00251B92" w:rsidRPr="007C35EB" w:rsidRDefault="00251B92" w:rsidP="00251B92">
                    <w:pPr>
                      <w:rPr>
                        <w:bCs/>
                      </w:rPr>
                    </w:pPr>
                  </w:p>
                  <w:p w:rsidR="00251B92" w:rsidRPr="007C35EB" w:rsidRDefault="00251B92" w:rsidP="00C27FAB">
                    <w:r w:rsidRPr="007C35EB">
                      <w:rPr>
                        <w:bCs/>
                      </w:rPr>
                      <w:t xml:space="preserve">After settling in Berlin in 1920, Segal founded his own painting school. As a member of groups such as </w:t>
                    </w:r>
                    <w:r w:rsidRPr="007C35EB">
                      <w:rPr>
                        <w:bCs/>
                        <w:i/>
                      </w:rPr>
                      <w:t xml:space="preserve">Die </w:t>
                    </w:r>
                    <w:proofErr w:type="spellStart"/>
                    <w:r w:rsidRPr="007C35EB">
                      <w:rPr>
                        <w:bCs/>
                        <w:i/>
                      </w:rPr>
                      <w:t>Autonomen</w:t>
                    </w:r>
                    <w:proofErr w:type="spellEnd"/>
                    <w:r w:rsidRPr="007C35EB">
                      <w:rPr>
                        <w:bCs/>
                      </w:rPr>
                      <w:t xml:space="preserve"> and </w:t>
                    </w:r>
                    <w:r w:rsidRPr="007C35EB">
                      <w:rPr>
                        <w:bCs/>
                        <w:i/>
                      </w:rPr>
                      <w:t xml:space="preserve">Die </w:t>
                    </w:r>
                    <w:proofErr w:type="spellStart"/>
                    <w:r w:rsidRPr="007C35EB">
                      <w:rPr>
                        <w:bCs/>
                        <w:i/>
                      </w:rPr>
                      <w:t>Juryfreien</w:t>
                    </w:r>
                    <w:proofErr w:type="spellEnd"/>
                    <w:r w:rsidRPr="007C35EB">
                      <w:rPr>
                        <w:bCs/>
                        <w:i/>
                      </w:rPr>
                      <w:t>,</w:t>
                    </w:r>
                    <w:r w:rsidRPr="007C35EB">
                      <w:rPr>
                        <w:bCs/>
                      </w:rPr>
                      <w:t xml:space="preserve"> Segal </w:t>
                    </w:r>
                    <w:r w:rsidR="001D69CA" w:rsidRPr="007C35EB">
                      <w:rPr>
                        <w:bCs/>
                      </w:rPr>
                      <w:t>favoured</w:t>
                    </w:r>
                    <w:r w:rsidRPr="007C35EB">
                      <w:rPr>
                        <w:bCs/>
                      </w:rPr>
                      <w:t xml:space="preserve"> social engagement. He participated in </w:t>
                    </w:r>
                    <w:proofErr w:type="spellStart"/>
                    <w:r w:rsidRPr="007C35EB">
                      <w:rPr>
                        <w:bCs/>
                        <w:i/>
                      </w:rPr>
                      <w:t>Asso</w:t>
                    </w:r>
                    <w:proofErr w:type="spellEnd"/>
                    <w:r w:rsidRPr="007C35EB">
                      <w:rPr>
                        <w:bCs/>
                      </w:rPr>
                      <w:t xml:space="preserve"> (or </w:t>
                    </w:r>
                    <w:r w:rsidRPr="007C35EB">
                      <w:rPr>
                        <w:i/>
                      </w:rPr>
                      <w:t>ARBKD</w:t>
                    </w:r>
                    <w:r w:rsidR="001D69CA">
                      <w:t xml:space="preserve">) and, along </w:t>
                    </w:r>
                    <w:r w:rsidRPr="007C35EB">
                      <w:t>with Grosz, Kollwitz, and Dix</w:t>
                    </w:r>
                    <w:r w:rsidR="001D69CA">
                      <w:t>, supported the Social Democratic Party (SPD) and Trade U</w:t>
                    </w:r>
                    <w:r w:rsidRPr="007C35EB">
                      <w:t xml:space="preserve">nion’s actions in </w:t>
                    </w:r>
                    <w:r w:rsidR="001D69CA" w:rsidRPr="007C35EB">
                      <w:t>defence</w:t>
                    </w:r>
                    <w:r w:rsidRPr="007C35EB">
                      <w:t xml:space="preserve"> of ‘</w:t>
                    </w:r>
                    <w:proofErr w:type="spellStart"/>
                    <w:r w:rsidRPr="007C35EB">
                      <w:rPr>
                        <w:i/>
                      </w:rPr>
                      <w:t>Achtstundentag</w:t>
                    </w:r>
                    <w:proofErr w:type="spellEnd"/>
                    <w:r w:rsidRPr="007C35EB">
                      <w:t xml:space="preserve">’ (eight hours work day). In 1925 his work was included in </w:t>
                    </w:r>
                    <w:r w:rsidRPr="007C35EB">
                      <w:rPr>
                        <w:i/>
                      </w:rPr>
                      <w:t xml:space="preserve">Die </w:t>
                    </w:r>
                    <w:proofErr w:type="spellStart"/>
                    <w:r w:rsidRPr="007C35EB">
                      <w:rPr>
                        <w:i/>
                      </w:rPr>
                      <w:t>Kunstismen</w:t>
                    </w:r>
                    <w:proofErr w:type="spellEnd"/>
                    <w:r w:rsidRPr="007C35EB">
                      <w:t>, and he declined a teaching position at the Bauhaus. In his work of the late 1920s, he advocated a ‘new naturalism,’ applying divisionism in figurative canvases. Bordering proto-photorealism in the late 1930s, he saw this as a ‘</w:t>
                    </w:r>
                    <w:r w:rsidR="00E96463" w:rsidRPr="007C35EB">
                      <w:t xml:space="preserve">synthesis of constructivism and </w:t>
                    </w:r>
                    <w:proofErr w:type="spellStart"/>
                    <w:r w:rsidR="00E96463" w:rsidRPr="007C35EB">
                      <w:t>neue</w:t>
                    </w:r>
                    <w:proofErr w:type="spellEnd"/>
                    <w:r w:rsidR="00E96463" w:rsidRPr="007C35EB">
                      <w:t xml:space="preserve"> </w:t>
                    </w:r>
                    <w:proofErr w:type="spellStart"/>
                    <w:r w:rsidR="00E96463" w:rsidRPr="007C35EB">
                      <w:t>s</w:t>
                    </w:r>
                    <w:r w:rsidRPr="007C35EB">
                      <w:t>achlichkeit</w:t>
                    </w:r>
                    <w:proofErr w:type="spellEnd"/>
                    <w:r w:rsidRPr="007C35EB">
                      <w:t xml:space="preserve">.’ In 1933 Segal </w:t>
                    </w:r>
                    <w:r w:rsidR="00210E82" w:rsidRPr="007C35EB">
                      <w:t>immigrated</w:t>
                    </w:r>
                    <w:r w:rsidRPr="007C35EB">
                      <w:t xml:space="preserve"> to Mallorca, </w:t>
                    </w:r>
                    <w:r w:rsidR="001D69CA">
                      <w:t xml:space="preserve">finally </w:t>
                    </w:r>
                    <w:proofErr w:type="spellStart"/>
                    <w:r w:rsidR="001D69CA">
                      <w:t>setteling</w:t>
                    </w:r>
                    <w:proofErr w:type="spellEnd"/>
                    <w:r w:rsidR="001D69CA">
                      <w:t xml:space="preserve"> in London 1936</w:t>
                    </w:r>
                    <w:bookmarkStart w:id="0" w:name="_GoBack"/>
                    <w:bookmarkEnd w:id="0"/>
                    <w:r w:rsidRPr="007C35EB">
                      <w:t xml:space="preserve">, where he opened the </w:t>
                    </w:r>
                    <w:r w:rsidRPr="007C35EB">
                      <w:rPr>
                        <w:i/>
                      </w:rPr>
                      <w:t>Arthur Segal Painting School for Professionals and Non-Professionals</w:t>
                    </w:r>
                    <w:r w:rsidRPr="007C35EB">
                      <w:t>. Influenced by Freud and other psychoanalysts and psychiatrists, he pioneered art as</w:t>
                    </w:r>
                    <w:r w:rsidR="00210E82">
                      <w:t xml:space="preserve"> a</w:t>
                    </w:r>
                    <w:r w:rsidRPr="007C35EB">
                      <w:t xml:space="preserve"> psychotherapeutic contribution in handling mental disorders. He died on 23 June 1944 in London.</w:t>
                    </w:r>
                  </w:p>
                  <w:p w:rsidR="00251B92" w:rsidRPr="007C35EB" w:rsidRDefault="00251B92" w:rsidP="00C27FAB"/>
                  <w:p w:rsidR="00251B92" w:rsidRPr="007C35EB" w:rsidRDefault="00E96463" w:rsidP="00C27FAB">
                    <w:r w:rsidRPr="007C35EB">
                      <w:t>[File</w:t>
                    </w:r>
                    <w:r w:rsidR="00251B92" w:rsidRPr="007C35EB">
                      <w:t>: Segal.jpg]</w:t>
                    </w:r>
                  </w:p>
                  <w:p w:rsidR="00251B92" w:rsidRPr="007C35EB" w:rsidRDefault="00251B92" w:rsidP="00C27FAB"/>
                  <w:p w:rsidR="007C35EB" w:rsidRDefault="00251B92" w:rsidP="00251B92">
                    <w:pPr>
                      <w:pStyle w:val="Caption"/>
                      <w:keepNext/>
                    </w:pPr>
                    <w:r w:rsidRPr="007C35EB">
                      <w:t xml:space="preserve">Figure </w:t>
                    </w:r>
                    <w:fldSimple w:instr=" SEQ Figure \* ARABIC ">
                      <w:r w:rsidRPr="007C35EB">
                        <w:rPr>
                          <w:noProof/>
                        </w:rPr>
                        <w:t>1</w:t>
                      </w:r>
                    </w:fldSimple>
                    <w:r w:rsidRPr="007C35EB">
                      <w:t xml:space="preserve"> Arthur</w:t>
                    </w:r>
                    <w:r w:rsidR="00E96463" w:rsidRPr="007C35EB">
                      <w:t xml:space="preserve"> Segal, </w:t>
                    </w:r>
                    <w:proofErr w:type="spellStart"/>
                    <w:r w:rsidR="00E96463" w:rsidRPr="007C35EB">
                      <w:t>S</w:t>
                    </w:r>
                    <w:r w:rsidR="007C35EB">
                      <w:t>trasse</w:t>
                    </w:r>
                    <w:proofErr w:type="spellEnd"/>
                    <w:r w:rsidR="007C35EB">
                      <w:t xml:space="preserve"> auf Helgoland II, 1924</w:t>
                    </w:r>
                    <w:r w:rsidRPr="007C35EB">
                      <w:t xml:space="preserve">, oil </w:t>
                    </w:r>
                    <w:r w:rsidR="00E96463" w:rsidRPr="007C35EB">
                      <w:t>on board with painted frame, 98.</w:t>
                    </w:r>
                    <w:r w:rsidRPr="007C35EB">
                      <w:t>4 x 80</w:t>
                    </w:r>
                    <w:r w:rsidR="00E96463" w:rsidRPr="007C35EB">
                      <w:t xml:space="preserve"> </w:t>
                    </w:r>
                    <w:r w:rsidRPr="007C35EB">
                      <w:t>cm, The Metropolitan Museum New York.</w:t>
                    </w:r>
                  </w:p>
                  <w:commentRangeStart w:id="1"/>
                  <w:p w:rsidR="007C35EB" w:rsidRDefault="007C35EB" w:rsidP="007C35EB">
                    <w:r>
                      <w:fldChar w:fldCharType="begin"/>
                    </w:r>
                    <w:r>
                      <w:instrText xml:space="preserve"> HYPERLINK "</w:instrText>
                    </w:r>
                    <w:r w:rsidRPr="007C35EB">
                      <w:instrText>http://www.metmuseum.org/collection/the-collection-online/search/493694</w:instrText>
                    </w:r>
                    <w:r>
                      <w:instrText xml:space="preserve">" </w:instrText>
                    </w:r>
                    <w:r>
                      <w:fldChar w:fldCharType="separate"/>
                    </w:r>
                    <w:r w:rsidRPr="00D14F96">
                      <w:rPr>
                        <w:rStyle w:val="Hyperlink"/>
                      </w:rPr>
                      <w:t>http://www.metmuseum.org/collection/the-collection-online/search/493694</w:t>
                    </w:r>
                    <w:r>
                      <w:fldChar w:fldCharType="end"/>
                    </w:r>
                    <w:commentRangeEnd w:id="1"/>
                    <w:r>
                      <w:rPr>
                        <w:rStyle w:val="CommentReference"/>
                      </w:rPr>
                      <w:commentReference w:id="1"/>
                    </w:r>
                  </w:p>
                  <w:p w:rsidR="003F0D73" w:rsidRPr="007C35EB" w:rsidRDefault="003F0D73" w:rsidP="007C35EB"/>
                </w:tc>
              </w:sdtContent>
            </w:sdt>
          </w:sdtContent>
        </w:sdt>
      </w:tr>
      <w:tr w:rsidR="003235A7" w:rsidRPr="007C35EB" w:rsidTr="003235A7">
        <w:tc>
          <w:tcPr>
            <w:tcW w:w="9016" w:type="dxa"/>
          </w:tcPr>
          <w:p w:rsidR="003235A7" w:rsidRPr="007C35EB" w:rsidRDefault="003235A7" w:rsidP="008A5B87">
            <w:r w:rsidRPr="007C35EB">
              <w:rPr>
                <w:u w:val="single"/>
              </w:rPr>
              <w:lastRenderedPageBreak/>
              <w:t>Further reading</w:t>
            </w:r>
            <w:r w:rsidRPr="007C35EB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Content>
              <w:p w:rsidR="00251B92" w:rsidRPr="007C35EB" w:rsidRDefault="007C35EB" w:rsidP="00251B92">
                <w:sdt>
                  <w:sdtPr>
                    <w:id w:val="-876551345"/>
                    <w:citation/>
                  </w:sdtPr>
                  <w:sdtContent>
                    <w:r w:rsidR="00251B92" w:rsidRPr="007C35EB">
                      <w:fldChar w:fldCharType="begin"/>
                    </w:r>
                    <w:r w:rsidR="00E96463" w:rsidRPr="007C35EB">
                      <w:instrText xml:space="preserve">CITATION Her \l 1033 </w:instrText>
                    </w:r>
                    <w:r w:rsidR="00251B92" w:rsidRPr="007C35EB">
                      <w:fldChar w:fldCharType="separate"/>
                    </w:r>
                    <w:r w:rsidR="00E96463" w:rsidRPr="007C35EB">
                      <w:rPr>
                        <w:noProof/>
                      </w:rPr>
                      <w:t xml:space="preserve"> (Herzogenrath and Liška)</w:t>
                    </w:r>
                    <w:r w:rsidR="00251B92" w:rsidRPr="007C35EB">
                      <w:fldChar w:fldCharType="end"/>
                    </w:r>
                  </w:sdtContent>
                </w:sdt>
              </w:p>
              <w:p w:rsidR="00251B92" w:rsidRPr="007C35EB" w:rsidRDefault="007C35EB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instrText xml:space="preserve"> CITATION San06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(Sandquist)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Pr="007C35EB" w:rsidRDefault="007C35EB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Seg76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(A. Segal, The Objective Principles of Painting)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Pr="007C35EB" w:rsidRDefault="007C35EB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Seg25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(Segal and Braun, Lichtprobleme der Bildenden Kunst)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3235A7" w:rsidRPr="007C35EB" w:rsidRDefault="007C35EB" w:rsidP="00FB11DE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Content>
                    <w:r w:rsidR="00251B92" w:rsidRPr="007C35EB">
                      <w:rPr>
                        <w:b/>
                      </w:rPr>
                      <w:fldChar w:fldCharType="begin"/>
                    </w:r>
                    <w:r w:rsidR="00251B92" w:rsidRPr="007C35EB">
                      <w:rPr>
                        <w:b/>
                      </w:rPr>
                      <w:instrText xml:space="preserve"> CITATION Seg56 \l 1033 </w:instrText>
                    </w:r>
                    <w:r w:rsidR="00251B92" w:rsidRPr="007C35EB">
                      <w:rPr>
                        <w:b/>
                      </w:rPr>
                      <w:fldChar w:fldCharType="separate"/>
                    </w:r>
                    <w:r w:rsidR="00251B92" w:rsidRPr="007C35EB">
                      <w:rPr>
                        <w:noProof/>
                      </w:rPr>
                      <w:t>(E. Segal)</w:t>
                    </w:r>
                    <w:r w:rsidR="00251B92" w:rsidRPr="007C35EB">
                      <w:rPr>
                        <w:b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mine Nielsen" w:date="2014-12-10T12:42:00Z" w:initials="JN">
    <w:p w:rsidR="006C7EB5" w:rsidRDefault="006C7EB5">
      <w:pPr>
        <w:pStyle w:val="CommentText"/>
      </w:pPr>
      <w:r>
        <w:rPr>
          <w:rStyle w:val="CommentReference"/>
        </w:rPr>
        <w:annotationRef/>
      </w:r>
      <w:r>
        <w:t>Copyright restrictions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EB5" w:rsidRDefault="006C7EB5" w:rsidP="007A0D55">
      <w:pPr>
        <w:spacing w:after="0" w:line="240" w:lineRule="auto"/>
      </w:pPr>
      <w:r>
        <w:separator/>
      </w:r>
    </w:p>
  </w:endnote>
  <w:endnote w:type="continuationSeparator" w:id="0">
    <w:p w:rsidR="006C7EB5" w:rsidRDefault="006C7EB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EB5" w:rsidRDefault="006C7EB5" w:rsidP="007A0D55">
      <w:pPr>
        <w:spacing w:after="0" w:line="240" w:lineRule="auto"/>
      </w:pPr>
      <w:r>
        <w:separator/>
      </w:r>
    </w:p>
  </w:footnote>
  <w:footnote w:type="continuationSeparator" w:id="0">
    <w:p w:rsidR="006C7EB5" w:rsidRDefault="006C7EB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EB5" w:rsidRDefault="006C7EB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6C7EB5" w:rsidRDefault="006C7E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A421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D69CA"/>
    <w:rsid w:val="00210C03"/>
    <w:rsid w:val="00210E82"/>
    <w:rsid w:val="002162E2"/>
    <w:rsid w:val="00225C5A"/>
    <w:rsid w:val="00230B10"/>
    <w:rsid w:val="00234353"/>
    <w:rsid w:val="00244BB0"/>
    <w:rsid w:val="00251B92"/>
    <w:rsid w:val="002A0A0D"/>
    <w:rsid w:val="002A7F79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78F8"/>
    <w:rsid w:val="004E5896"/>
    <w:rsid w:val="00513EE6"/>
    <w:rsid w:val="00534F8F"/>
    <w:rsid w:val="00590035"/>
    <w:rsid w:val="005B177E"/>
    <w:rsid w:val="005B3921"/>
    <w:rsid w:val="005F26D7"/>
    <w:rsid w:val="005F5450"/>
    <w:rsid w:val="006C7EB5"/>
    <w:rsid w:val="006D0412"/>
    <w:rsid w:val="007411B9"/>
    <w:rsid w:val="00780D95"/>
    <w:rsid w:val="00780DC7"/>
    <w:rsid w:val="007A0D55"/>
    <w:rsid w:val="007B3377"/>
    <w:rsid w:val="007C35EB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96463"/>
    <w:rsid w:val="00EA606C"/>
    <w:rsid w:val="00EB0C8C"/>
    <w:rsid w:val="00EB51FD"/>
    <w:rsid w:val="00EB77DB"/>
    <w:rsid w:val="00ED139F"/>
    <w:rsid w:val="00EF74F7"/>
    <w:rsid w:val="00F36937"/>
    <w:rsid w:val="00F60F53"/>
    <w:rsid w:val="00F63F40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35E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7C35E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7C35E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5E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C35E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457DF8" w:rsidRDefault="00457DF8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457DF8" w:rsidRDefault="00457DF8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457DF8" w:rsidRDefault="00457DF8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457DF8" w:rsidRDefault="00457DF8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457DF8" w:rsidRDefault="00457DF8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457DF8" w:rsidRDefault="00457DF8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457DF8" w:rsidRDefault="00457DF8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457DF8" w:rsidRDefault="00457DF8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457DF8" w:rsidRDefault="00457DF8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457DF8" w:rsidRDefault="00457DF8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457DF8" w:rsidRDefault="00457DF8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F74D3515626704283D7E17BBBDBF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B7AFB-1611-7A44-A67A-7B9CD1A483E3}"/>
      </w:docPartPr>
      <w:docPartBody>
        <w:p w:rsidR="00457DF8" w:rsidRDefault="00457DF8" w:rsidP="00457DF8">
          <w:pPr>
            <w:pStyle w:val="4F74D3515626704283D7E17BBBDBF4F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573447C1C54A045909C800AC9EE7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E4660-77E8-6344-AE49-D12B15FE7B6E}"/>
      </w:docPartPr>
      <w:docPartBody>
        <w:p w:rsidR="00360EBD" w:rsidRDefault="00360EBD" w:rsidP="00360EBD">
          <w:pPr>
            <w:pStyle w:val="2573447C1C54A045909C800AC9EE7AA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DF8"/>
    <w:rsid w:val="00360EBD"/>
    <w:rsid w:val="0045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EBD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EBD"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  <w:style w:type="paragraph" w:customStyle="1" w:styleId="4F74D3515626704283D7E17BBBDBF4F4">
    <w:name w:val="4F74D3515626704283D7E17BBBDBF4F4"/>
    <w:rsid w:val="00457DF8"/>
    <w:rPr>
      <w:lang w:val="en-US"/>
    </w:rPr>
  </w:style>
  <w:style w:type="paragraph" w:customStyle="1" w:styleId="2573447C1C54A045909C800AC9EE7AA5">
    <w:name w:val="2573447C1C54A045909C800AC9EE7AA5"/>
    <w:rsid w:val="00360E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  <b:Source>
    <b:Tag>Her</b:Tag>
    <b:SourceType>Book</b:SourceType>
    <b:Guid>{D3A53A77-A377-8B41-9A23-5DF74B49A0AC}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</b:Sources>
</file>

<file path=customXml/itemProps1.xml><?xml version="1.0" encoding="utf-8"?>
<ds:datastoreItem xmlns:ds="http://schemas.openxmlformats.org/officeDocument/2006/customXml" ds:itemID="{AE86B53F-FB57-4D4D-8488-74B322E29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899</Words>
  <Characters>5128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2014-12-10T21:05:00Z</dcterms:created>
  <dcterms:modified xsi:type="dcterms:W3CDTF">2014-12-10T21:05:00Z</dcterms:modified>
</cp:coreProperties>
</file>