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1DEB2A" w14:textId="77777777" w:rsidTr="00D016CB">
        <w:tc>
          <w:tcPr>
            <w:tcW w:w="491" w:type="dxa"/>
            <w:vMerge w:val="restart"/>
            <w:shd w:val="clear" w:color="auto" w:fill="A6A6A6" w:themeFill="background1" w:themeFillShade="A6"/>
            <w:textDirection w:val="btLr"/>
          </w:tcPr>
          <w:p w14:paraId="2557D0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5B84E7BB86CC45B5DE62CB8441BF0D"/>
            </w:placeholder>
            <w:showingPlcHdr/>
            <w:dropDownList>
              <w:listItem w:displayText="Dr." w:value="Dr."/>
              <w:listItem w:displayText="Prof." w:value="Prof."/>
            </w:dropDownList>
          </w:sdtPr>
          <w:sdtContent>
            <w:tc>
              <w:tcPr>
                <w:tcW w:w="1296" w:type="dxa"/>
              </w:tcPr>
              <w:p w14:paraId="34E990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77A396FABED6418127F9F939FE4E52"/>
            </w:placeholder>
            <w:text/>
          </w:sdtPr>
          <w:sdtContent>
            <w:tc>
              <w:tcPr>
                <w:tcW w:w="2073" w:type="dxa"/>
              </w:tcPr>
              <w:p w14:paraId="7F6172E0" w14:textId="77777777" w:rsidR="00B574C9" w:rsidRDefault="00D016CB" w:rsidP="00922950">
                <w:r w:rsidRPr="00D45402">
                  <w:rPr>
                    <w:rFonts w:eastAsiaTheme="minorEastAsia"/>
                    <w:sz w:val="24"/>
                    <w:szCs w:val="24"/>
                    <w:lang w:eastAsia="ja-JP"/>
                  </w:rPr>
                  <w:t>Geraldine</w:t>
                </w:r>
              </w:p>
            </w:tc>
          </w:sdtContent>
        </w:sdt>
        <w:sdt>
          <w:sdtPr>
            <w:alias w:val="Middle name"/>
            <w:tag w:val="authorMiddleName"/>
            <w:id w:val="-2076034781"/>
            <w:placeholder>
              <w:docPart w:val="9A908B4F21DC4C47887285EDDA58B541"/>
            </w:placeholder>
            <w:showingPlcHdr/>
            <w:text/>
          </w:sdtPr>
          <w:sdtContent>
            <w:tc>
              <w:tcPr>
                <w:tcW w:w="2551" w:type="dxa"/>
              </w:tcPr>
              <w:p w14:paraId="5880F6A2" w14:textId="77777777" w:rsidR="00B574C9" w:rsidRDefault="00B574C9" w:rsidP="00922950">
                <w:r>
                  <w:rPr>
                    <w:rStyle w:val="PlaceholderText"/>
                  </w:rPr>
                  <w:t>[Middle name]</w:t>
                </w:r>
              </w:p>
            </w:tc>
          </w:sdtContent>
        </w:sdt>
        <w:sdt>
          <w:sdtPr>
            <w:alias w:val="Last name"/>
            <w:tag w:val="authorLastName"/>
            <w:id w:val="-1088529830"/>
            <w:placeholder>
              <w:docPart w:val="668634084169444BB29FDC344DF92867"/>
            </w:placeholder>
            <w:text/>
          </w:sdtPr>
          <w:sdtContent>
            <w:tc>
              <w:tcPr>
                <w:tcW w:w="2642" w:type="dxa"/>
              </w:tcPr>
              <w:p w14:paraId="6682770C" w14:textId="77777777" w:rsidR="00B574C9" w:rsidRDefault="00D016CB" w:rsidP="00D016CB">
                <w:r>
                  <w:t>Morris</w:t>
                </w:r>
              </w:p>
            </w:tc>
          </w:sdtContent>
        </w:sdt>
      </w:tr>
      <w:tr w:rsidR="00B574C9" w14:paraId="74612490" w14:textId="77777777" w:rsidTr="00D016CB">
        <w:trPr>
          <w:trHeight w:val="986"/>
        </w:trPr>
        <w:tc>
          <w:tcPr>
            <w:tcW w:w="491" w:type="dxa"/>
            <w:vMerge/>
            <w:shd w:val="clear" w:color="auto" w:fill="A6A6A6" w:themeFill="background1" w:themeFillShade="A6"/>
          </w:tcPr>
          <w:p w14:paraId="34D38200" w14:textId="77777777" w:rsidR="00B574C9" w:rsidRPr="001A6A06" w:rsidRDefault="00B574C9" w:rsidP="00CF1542">
            <w:pPr>
              <w:jc w:val="center"/>
              <w:rPr>
                <w:b/>
                <w:color w:val="FFFFFF" w:themeColor="background1"/>
              </w:rPr>
            </w:pPr>
          </w:p>
        </w:tc>
        <w:sdt>
          <w:sdtPr>
            <w:alias w:val="Biography"/>
            <w:tag w:val="authorBiography"/>
            <w:id w:val="938807824"/>
            <w:placeholder>
              <w:docPart w:val="B9EB2D793FA8C44EA5A7E399110EA381"/>
            </w:placeholder>
            <w:showingPlcHdr/>
          </w:sdtPr>
          <w:sdtContent>
            <w:tc>
              <w:tcPr>
                <w:tcW w:w="8562" w:type="dxa"/>
                <w:gridSpan w:val="4"/>
              </w:tcPr>
              <w:p w14:paraId="312F0860" w14:textId="77777777" w:rsidR="00B574C9" w:rsidRDefault="00B574C9" w:rsidP="00922950">
                <w:r>
                  <w:rPr>
                    <w:rStyle w:val="PlaceholderText"/>
                  </w:rPr>
                  <w:t>[Enter your biography]</w:t>
                </w:r>
              </w:p>
            </w:tc>
          </w:sdtContent>
        </w:sdt>
      </w:tr>
      <w:tr w:rsidR="00B574C9" w14:paraId="50FE4AC5" w14:textId="77777777" w:rsidTr="00D016CB">
        <w:trPr>
          <w:trHeight w:val="986"/>
        </w:trPr>
        <w:tc>
          <w:tcPr>
            <w:tcW w:w="491" w:type="dxa"/>
            <w:vMerge/>
            <w:shd w:val="clear" w:color="auto" w:fill="A6A6A6" w:themeFill="background1" w:themeFillShade="A6"/>
          </w:tcPr>
          <w:p w14:paraId="4DC49269" w14:textId="77777777" w:rsidR="00B574C9" w:rsidRPr="001A6A06" w:rsidRDefault="00B574C9" w:rsidP="00CF1542">
            <w:pPr>
              <w:jc w:val="center"/>
              <w:rPr>
                <w:b/>
                <w:color w:val="FFFFFF" w:themeColor="background1"/>
              </w:rPr>
            </w:pPr>
          </w:p>
        </w:tc>
        <w:sdt>
          <w:sdtPr>
            <w:alias w:val="Affiliation"/>
            <w:tag w:val="affiliation"/>
            <w:id w:val="2012937915"/>
            <w:placeholder>
              <w:docPart w:val="24E22822C3C2AF4EA5B2DB7726AD9DC9"/>
            </w:placeholder>
            <w:text/>
          </w:sdtPr>
          <w:sdtContent>
            <w:tc>
              <w:tcPr>
                <w:tcW w:w="8562" w:type="dxa"/>
                <w:gridSpan w:val="4"/>
              </w:tcPr>
              <w:p w14:paraId="0931A7C8" w14:textId="77777777" w:rsidR="00B574C9" w:rsidRDefault="00D016CB" w:rsidP="00D016CB">
                <w:r w:rsidRPr="00A90BAA">
                  <w:t>Univ</w:t>
                </w:r>
                <w:r>
                  <w:t>ersity of Roehampton</w:t>
                </w:r>
              </w:p>
            </w:tc>
          </w:sdtContent>
        </w:sdt>
      </w:tr>
    </w:tbl>
    <w:p w14:paraId="46873A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0DCDCE" w14:textId="77777777" w:rsidTr="00244BB0">
        <w:tc>
          <w:tcPr>
            <w:tcW w:w="9016" w:type="dxa"/>
            <w:shd w:val="clear" w:color="auto" w:fill="A6A6A6" w:themeFill="background1" w:themeFillShade="A6"/>
            <w:tcMar>
              <w:top w:w="113" w:type="dxa"/>
              <w:bottom w:w="113" w:type="dxa"/>
            </w:tcMar>
          </w:tcPr>
          <w:p w14:paraId="4CD6D0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277EB" w14:textId="77777777" w:rsidTr="003F0D73">
        <w:sdt>
          <w:sdtPr>
            <w:rPr>
              <w:b/>
            </w:rPr>
            <w:alias w:val="Article headword"/>
            <w:tag w:val="articleHeadword"/>
            <w:id w:val="-361440020"/>
            <w:placeholder>
              <w:docPart w:val="8AAF8251CBCC394E967895A51D692747"/>
            </w:placeholder>
            <w:text/>
          </w:sdtPr>
          <w:sdtContent>
            <w:tc>
              <w:tcPr>
                <w:tcW w:w="9016" w:type="dxa"/>
                <w:tcMar>
                  <w:top w:w="113" w:type="dxa"/>
                  <w:bottom w:w="113" w:type="dxa"/>
                </w:tcMar>
              </w:tcPr>
              <w:p w14:paraId="749D4F92" w14:textId="6FABB36A" w:rsidR="003F0D73" w:rsidRPr="00FB589A" w:rsidRDefault="00D016CB" w:rsidP="00D016CB">
                <w:pPr>
                  <w:tabs>
                    <w:tab w:val="left" w:pos="4460"/>
                  </w:tabs>
                  <w:rPr>
                    <w:b/>
                  </w:rPr>
                </w:pPr>
                <w:r>
                  <w:rPr>
                    <w:rFonts w:eastAsiaTheme="minorEastAsia"/>
                    <w:b/>
                    <w:sz w:val="24"/>
                    <w:szCs w:val="24"/>
                    <w:lang w:eastAsia="ja-JP"/>
                  </w:rPr>
                  <w:t>Ashton, Frederick</w:t>
                </w:r>
                <w:r w:rsidRPr="00920E08">
                  <w:rPr>
                    <w:rFonts w:eastAsiaTheme="minorEastAsia"/>
                    <w:b/>
                    <w:sz w:val="24"/>
                    <w:szCs w:val="24"/>
                    <w:lang w:eastAsia="ja-JP"/>
                  </w:rPr>
                  <w:t xml:space="preserve"> William </w:t>
                </w:r>
                <w:proofErr w:type="spellStart"/>
                <w:r w:rsidRPr="00920E08">
                  <w:rPr>
                    <w:rFonts w:eastAsiaTheme="minorEastAsia"/>
                    <w:b/>
                    <w:sz w:val="24"/>
                    <w:szCs w:val="24"/>
                    <w:lang w:eastAsia="ja-JP"/>
                  </w:rPr>
                  <w:t>Mallandaine</w:t>
                </w:r>
                <w:proofErr w:type="spellEnd"/>
                <w:r w:rsidR="005C3112">
                  <w:rPr>
                    <w:rFonts w:eastAsiaTheme="minorEastAsia"/>
                    <w:b/>
                    <w:sz w:val="24"/>
                    <w:szCs w:val="24"/>
                    <w:lang w:eastAsia="ja-JP"/>
                  </w:rPr>
                  <w:t xml:space="preserve"> (1904-1988)</w:t>
                </w:r>
                <w:r>
                  <w:rPr>
                    <w:rFonts w:eastAsiaTheme="minorEastAsia"/>
                    <w:b/>
                    <w:sz w:val="24"/>
                    <w:szCs w:val="24"/>
                    <w:lang w:eastAsia="ja-JP"/>
                  </w:rPr>
                  <w:tab/>
                </w:r>
              </w:p>
            </w:tc>
          </w:sdtContent>
        </w:sdt>
      </w:tr>
      <w:tr w:rsidR="00464699" w14:paraId="1D993CC2" w14:textId="77777777" w:rsidTr="00AA4A78">
        <w:sdt>
          <w:sdtPr>
            <w:alias w:val="Variant headwords"/>
            <w:tag w:val="variantHeadwords"/>
            <w:id w:val="173464402"/>
            <w:placeholder>
              <w:docPart w:val="F94378A81CCCDB439C15C2D4665DB60C"/>
            </w:placeholder>
            <w:showingPlcHdr/>
          </w:sdtPr>
          <w:sdtContent>
            <w:tc>
              <w:tcPr>
                <w:tcW w:w="9016" w:type="dxa"/>
                <w:tcMar>
                  <w:top w:w="113" w:type="dxa"/>
                  <w:bottom w:w="113" w:type="dxa"/>
                </w:tcMar>
              </w:tcPr>
              <w:p w14:paraId="43BF51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29609" w14:textId="77777777" w:rsidTr="003F0D73">
        <w:sdt>
          <w:sdtPr>
            <w:alias w:val="Abstract"/>
            <w:tag w:val="abstract"/>
            <w:id w:val="-635871867"/>
            <w:placeholder>
              <w:docPart w:val="EE629F0B67A0BC4CA62A43154E72AF91"/>
            </w:placeholder>
          </w:sdtPr>
          <w:sdtContent>
            <w:tc>
              <w:tcPr>
                <w:tcW w:w="9016" w:type="dxa"/>
                <w:tcMar>
                  <w:top w:w="113" w:type="dxa"/>
                  <w:bottom w:w="113" w:type="dxa"/>
                </w:tcMar>
              </w:tcPr>
              <w:p w14:paraId="1ABC8E0F" w14:textId="4FB8D78D" w:rsidR="00E85A05" w:rsidRPr="00AA4A78" w:rsidRDefault="00AA4A78" w:rsidP="00E85A05">
                <w:pPr>
                  <w:rPr>
                    <w:b/>
                  </w:rPr>
                </w:pPr>
                <w:r>
                  <w:t xml:space="preserve">Frederick Ashton was a British choreographer and dancer whose work significantly contributed to the development and identity of The Royal Ballet. Along with its founder, </w:t>
                </w:r>
                <w:proofErr w:type="spellStart"/>
                <w:r>
                  <w:t>Ninette</w:t>
                </w:r>
                <w:proofErr w:type="spellEnd"/>
                <w:r>
                  <w:t xml:space="preserv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 xml:space="preserve">Ballets </w:t>
                </w:r>
                <w:proofErr w:type="spellStart"/>
                <w:r w:rsidRPr="00AA4A78">
                  <w:rPr>
                    <w:i/>
                  </w:rPr>
                  <w:t>Russes</w:t>
                </w:r>
                <w:proofErr w:type="spellEnd"/>
                <w:r>
                  <w:t xml:space="preserve">, he pushed and </w:t>
                </w:r>
                <w:proofErr w:type="spellStart"/>
                <w:r>
                  <w:t>molded</w:t>
                </w:r>
                <w:proofErr w:type="spellEnd"/>
                <w:r>
                  <w:t xml:space="preserve"> it to suit his own purposes. Concentrating chiefly on one-act works, his main stimulus was dance itself; ballet movement was central to his work. Even when he used narrative, he did so largely to explore dance. As a frequent collaborator with other modernist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 xml:space="preserve">Le </w:t>
                </w:r>
                <w:proofErr w:type="spellStart"/>
                <w:r>
                  <w:rPr>
                    <w:i/>
                  </w:rPr>
                  <w:t>Rossignol</w:t>
                </w:r>
                <w:proofErr w:type="spellEnd"/>
                <w:r>
                  <w:t xml:space="preserve"> (</w:t>
                </w:r>
                <w:r w:rsidRPr="00A825F2">
                  <w:rPr>
                    <w:i/>
                  </w:rPr>
                  <w:t>The Nightingale</w:t>
                </w:r>
                <w:r>
                  <w:t xml:space="preserve">, 1981).  </w:t>
                </w:r>
              </w:p>
            </w:tc>
          </w:sdtContent>
        </w:sdt>
      </w:tr>
      <w:tr w:rsidR="003F0D73" w14:paraId="79DD5FBA" w14:textId="77777777" w:rsidTr="003F0D73">
        <w:sdt>
          <w:sdtPr>
            <w:alias w:val="Article text"/>
            <w:tag w:val="articleText"/>
            <w:id w:val="634067588"/>
            <w:placeholder>
              <w:docPart w:val="FF389C323BCD324CB6F2CE73E3F330B7"/>
            </w:placeholder>
          </w:sdtPr>
          <w:sdtContent>
            <w:tc>
              <w:tcPr>
                <w:tcW w:w="9016" w:type="dxa"/>
                <w:tcMar>
                  <w:top w:w="113" w:type="dxa"/>
                  <w:bottom w:w="113" w:type="dxa"/>
                </w:tcMar>
              </w:tcPr>
              <w:p w14:paraId="3E7E6AD3" w14:textId="7792442D" w:rsidR="000551B0" w:rsidRPr="00AA4A78" w:rsidRDefault="000551B0" w:rsidP="000551B0">
                <w:pPr>
                  <w:rPr>
                    <w:b/>
                  </w:rPr>
                </w:pPr>
                <w:r>
                  <w:t>Frederick Ashton was a British choreographer and dancer whose work significantly contributed to the development and</w:t>
                </w:r>
                <w:r w:rsidR="00AA4A78">
                  <w:t xml:space="preserve"> identity of The Royal Ballet. </w:t>
                </w:r>
                <w:r>
                  <w:t xml:space="preserve">Along with its founder, </w:t>
                </w:r>
                <w:proofErr w:type="spellStart"/>
                <w:r>
                  <w:t>Ninett</w:t>
                </w:r>
                <w:r w:rsidR="00AA4A78">
                  <w:t>e</w:t>
                </w:r>
                <w:proofErr w:type="spellEnd"/>
                <w:r w:rsidR="00AA4A78">
                  <w:t xml:space="preserve"> de Valois, and music director</w:t>
                </w:r>
                <w:r>
                  <w:t xml:space="preserve"> Constant Lambert, </w:t>
                </w:r>
                <w:r w:rsidR="00AA4A78">
                  <w:t>Ashton</w:t>
                </w:r>
                <w:r>
                  <w:t xml:space="preserve"> is regarded as one of its</w:t>
                </w:r>
                <w:r w:rsidR="00AA4A78">
                  <w:t xml:space="preserve"> main</w:t>
                </w:r>
                <w:r>
                  <w:t xml:space="preserve"> architects </w:t>
                </w:r>
                <w:r w:rsidR="00AA4A78">
                  <w:t>and</w:t>
                </w:r>
                <w:r>
                  <w:t xml:space="preserve"> </w:t>
                </w:r>
                <w:r w:rsidR="00AA4A78">
                  <w:t xml:space="preserve">more broadly </w:t>
                </w:r>
                <w:r>
                  <w:t>as a major cr</w:t>
                </w:r>
                <w:r w:rsidR="00AA4A78">
                  <w:t>eator of British ballet style. H</w:t>
                </w:r>
                <w:r>
                  <w:t>e was the company’s principal choreographer</w:t>
                </w:r>
                <w:r w:rsidR="00AA4A78">
                  <w:t xml:space="preserve"> between 1935 and 1970,</w:t>
                </w:r>
                <w:r>
                  <w:t xml:space="preserve"> and </w:t>
                </w:r>
                <w:r w:rsidR="00AA4A78">
                  <w:t xml:space="preserve">its director </w:t>
                </w:r>
                <w:r>
                  <w:t xml:space="preserve">from 1963. Inheriting the avant-gardism of the </w:t>
                </w:r>
                <w:r w:rsidRPr="00AA4A78">
                  <w:rPr>
                    <w:i/>
                  </w:rPr>
                  <w:t xml:space="preserve">Ballets </w:t>
                </w:r>
                <w:proofErr w:type="spellStart"/>
                <w:r w:rsidRPr="00AA4A78">
                  <w:rPr>
                    <w:i/>
                  </w:rPr>
                  <w:t>Russes</w:t>
                </w:r>
                <w:proofErr w:type="spellEnd"/>
                <w:r w:rsidR="00AA4A78">
                  <w:t xml:space="preserve">, he pushed and </w:t>
                </w:r>
                <w:proofErr w:type="spellStart"/>
                <w:r w:rsidR="00AA4A78">
                  <w:t>mo</w:t>
                </w:r>
                <w:r>
                  <w:t>lded</w:t>
                </w:r>
                <w:proofErr w:type="spellEnd"/>
                <w:r>
                  <w:t xml:space="preserve"> i</w:t>
                </w:r>
                <w:r w:rsidR="00AA4A78">
                  <w:t xml:space="preserve">t to suit his own purposes. </w:t>
                </w:r>
                <w:r>
                  <w:t>Concentrating chiefly on one-act works, his main stimulus was dance itself; ballet mov</w:t>
                </w:r>
                <w:r w:rsidR="00AA4A78">
                  <w:t xml:space="preserve">ement was central to his work. </w:t>
                </w:r>
                <w:r>
                  <w:t>Even when he used narrative, he di</w:t>
                </w:r>
                <w:r w:rsidR="00AA4A78">
                  <w:t xml:space="preserve">d so largely to explore dance. </w:t>
                </w:r>
                <w:r>
                  <w:t xml:space="preserve">As a frequent collaborator with other modernist artists, he created works </w:t>
                </w:r>
                <w:r w:rsidR="00AA4A78">
                  <w:t>that</w:t>
                </w:r>
                <w:r>
                  <w:t xml:space="preserve"> were innovative</w:t>
                </w:r>
                <w:r w:rsidR="00AA4A78">
                  <w:t xml:space="preserve"> and occasionally challenging: </w:t>
                </w:r>
                <w:r>
                  <w:t xml:space="preserve">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w:t>
                </w:r>
                <w:r w:rsidR="00AA4A78">
                  <w:t xml:space="preserve">ing of Arthur Rimbaud’s poems. </w:t>
                </w:r>
                <w:r>
                  <w:t xml:space="preserve">Despite the reservations of Constant Lambert and the English music press, he used four of Stravinsky’s scores, two of which were in mixed media: </w:t>
                </w:r>
                <w:r>
                  <w:rPr>
                    <w:i/>
                  </w:rPr>
                  <w:t>Persephone</w:t>
                </w:r>
                <w:r>
                  <w:t xml:space="preserve"> (1961) and </w:t>
                </w:r>
                <w:r>
                  <w:rPr>
                    <w:i/>
                  </w:rPr>
                  <w:t xml:space="preserve">Le </w:t>
                </w:r>
                <w:proofErr w:type="spellStart"/>
                <w:r>
                  <w:rPr>
                    <w:i/>
                  </w:rPr>
                  <w:t>Rossignol</w:t>
                </w:r>
                <w:proofErr w:type="spellEnd"/>
                <w:r>
                  <w:t xml:space="preserve"> (</w:t>
                </w:r>
                <w:r w:rsidRPr="00A825F2">
                  <w:rPr>
                    <w:i/>
                  </w:rPr>
                  <w:t>The Nightingale</w:t>
                </w:r>
                <w:r>
                  <w:t xml:space="preserve">, 1981).  </w:t>
                </w:r>
              </w:p>
              <w:p w14:paraId="12D4E3B7" w14:textId="77777777" w:rsidR="000551B0" w:rsidRDefault="000551B0" w:rsidP="000551B0"/>
              <w:p w14:paraId="0C30ACC4" w14:textId="77777777" w:rsidR="000551B0" w:rsidRPr="000250BB" w:rsidRDefault="000551B0" w:rsidP="00AA4A78">
                <w:pPr>
                  <w:pStyle w:val="Heading1"/>
                  <w:outlineLvl w:val="0"/>
                </w:pPr>
                <w:r w:rsidRPr="000250BB">
                  <w:t>Dance Training and Background</w:t>
                </w:r>
              </w:p>
              <w:p w14:paraId="4260810B" w14:textId="20F660A3" w:rsidR="000551B0" w:rsidRDefault="000551B0" w:rsidP="000551B0">
                <w:r>
                  <w:t xml:space="preserve">Ashton’s upbringing in South America exposed him to social dance at an early age, but attending a performance by Anna </w:t>
                </w:r>
                <w:proofErr w:type="spellStart"/>
                <w:r>
                  <w:t>Pavlova</w:t>
                </w:r>
                <w:proofErr w:type="spellEnd"/>
                <w:r>
                  <w:t xml:space="preserve"> </w:t>
                </w:r>
                <w:r w:rsidR="00AA4A78">
                  <w:t>at</w:t>
                </w:r>
                <w:r>
                  <w:t xml:space="preserve"> ten </w:t>
                </w:r>
                <w:r w:rsidR="00AA4A78">
                  <w:t xml:space="preserve">years old changed his life: </w:t>
                </w:r>
                <w:r>
                  <w:t>It was a formative moment, inspiring his future choreography and leading to a lif</w:t>
                </w:r>
                <w:r w:rsidR="00AA4A78">
                  <w:t xml:space="preserve">elong infatuation with ballet. </w:t>
                </w:r>
                <w:r>
                  <w:t xml:space="preserve">Arriving in </w:t>
                </w:r>
                <w:r>
                  <w:lastRenderedPageBreak/>
                  <w:t xml:space="preserve">London in 1922, Ashton sought a teacher to instruct him in the </w:t>
                </w:r>
                <w:r w:rsidR="00AA4A78">
                  <w:t xml:space="preserve">rudiments of ballet technique. </w:t>
                </w:r>
                <w:r>
                  <w:t xml:space="preserve">Chance led him to </w:t>
                </w:r>
                <w:proofErr w:type="spellStart"/>
                <w:r>
                  <w:t>Léonide</w:t>
                </w:r>
                <w:proofErr w:type="spellEnd"/>
                <w:r>
                  <w:t xml:space="preserve"> Massine who, by the 1920s, was a highly acclaimed modernist choreographer.</w:t>
                </w:r>
              </w:p>
              <w:p w14:paraId="0B43526C" w14:textId="77777777" w:rsidR="000551B0" w:rsidRDefault="000551B0" w:rsidP="000551B0"/>
              <w:p w14:paraId="30BDC164" w14:textId="07D2BCAA" w:rsidR="000551B0" w:rsidRDefault="000551B0" w:rsidP="000551B0">
                <w:r>
                  <w:t xml:space="preserve">Before leaving London a few months later, Massine recommended Ashton to Marie </w:t>
                </w:r>
                <w:proofErr w:type="spellStart"/>
                <w:r>
                  <w:t>Rambert</w:t>
                </w:r>
                <w:proofErr w:type="spellEnd"/>
                <w:r>
                  <w:t>, a Polish dancer and follower of Isadora Duncan</w:t>
                </w:r>
                <w:r w:rsidR="00AA4A78">
                  <w:t>,</w:t>
                </w:r>
                <w:r>
                  <w:t xml:space="preserve"> who had also studied with </w:t>
                </w:r>
                <w:proofErr w:type="spellStart"/>
                <w:r>
                  <w:t>Émil</w:t>
                </w:r>
                <w:r w:rsidR="00AA4A78">
                  <w:t>e</w:t>
                </w:r>
                <w:proofErr w:type="spellEnd"/>
                <w:r w:rsidR="00AA4A78">
                  <w:t xml:space="preserve"> Jaques-Dalcroze in </w:t>
                </w:r>
                <w:proofErr w:type="spellStart"/>
                <w:r w:rsidR="00AA4A78">
                  <w:t>Hellerau</w:t>
                </w:r>
                <w:proofErr w:type="spellEnd"/>
                <w:r w:rsidR="00AA4A78">
                  <w:t xml:space="preserve">. </w:t>
                </w:r>
                <w:r>
                  <w:t xml:space="preserve">Engaged by Serge Diaghilev to help </w:t>
                </w:r>
                <w:proofErr w:type="spellStart"/>
                <w:r>
                  <w:t>Vaslav</w:t>
                </w:r>
                <w:proofErr w:type="spellEnd"/>
                <w:r>
                  <w:t xml:space="preserve"> Nijinsky with the music of </w:t>
                </w:r>
                <w:r>
                  <w:rPr>
                    <w:i/>
                  </w:rPr>
                  <w:t xml:space="preserve">Le </w:t>
                </w:r>
                <w:proofErr w:type="spellStart"/>
                <w:r>
                  <w:rPr>
                    <w:i/>
                  </w:rPr>
                  <w:t>Sacre</w:t>
                </w:r>
                <w:proofErr w:type="spellEnd"/>
                <w:r>
                  <w:rPr>
                    <w:i/>
                  </w:rPr>
                  <w:t xml:space="preserve"> du </w:t>
                </w:r>
                <w:proofErr w:type="spellStart"/>
                <w:r>
                  <w:rPr>
                    <w:i/>
                  </w:rPr>
                  <w:t>printemps</w:t>
                </w:r>
                <w:proofErr w:type="spellEnd"/>
                <w:r>
                  <w:t xml:space="preserve"> (</w:t>
                </w:r>
                <w:r w:rsidRPr="000250BB">
                  <w:rPr>
                    <w:i/>
                  </w:rPr>
                  <w:t>The Rite of Spring</w:t>
                </w:r>
                <w:r>
                  <w:t xml:space="preserve">, 1913), </w:t>
                </w:r>
                <w:proofErr w:type="spellStart"/>
                <w:r>
                  <w:t>Rambert</w:t>
                </w:r>
                <w:proofErr w:type="spellEnd"/>
                <w:r>
                  <w:t xml:space="preserve"> joined the </w:t>
                </w:r>
                <w:r w:rsidRPr="00AA4A78">
                  <w:rPr>
                    <w:i/>
                  </w:rPr>
                  <w:t xml:space="preserve">Ballets </w:t>
                </w:r>
                <w:proofErr w:type="spellStart"/>
                <w:r w:rsidRPr="00AA4A78">
                  <w:rPr>
                    <w:i/>
                  </w:rPr>
                  <w:t>Russes</w:t>
                </w:r>
                <w:proofErr w:type="spellEnd"/>
                <w:r w:rsidR="00AA4A78">
                  <w:t xml:space="preserve">. </w:t>
                </w:r>
                <w:r>
                  <w:t>She began taking class</w:t>
                </w:r>
                <w:r w:rsidR="00AA4A78">
                  <w:t>es</w:t>
                </w:r>
                <w:r>
                  <w:t xml:space="preserve"> with the ballet master Enrico </w:t>
                </w:r>
                <w:proofErr w:type="spellStart"/>
                <w:r>
                  <w:t>Cecchetti</w:t>
                </w:r>
                <w:proofErr w:type="spellEnd"/>
                <w:r>
                  <w:t>, and later, in her London studio, she tau</w:t>
                </w:r>
                <w:r w:rsidR="00AA4A78">
                  <w:t xml:space="preserve">ght a version of his syllabus. </w:t>
                </w:r>
                <w:r>
                  <w:t>One of the earliest pedagogical systems to be codified, it encouraged fluidity in the upper body and ge</w:t>
                </w:r>
                <w:r w:rsidR="00AA4A78">
                  <w:t>nerated a strong central torso.</w:t>
                </w:r>
                <w:r>
                  <w:t xml:space="preserve"> Its syllabus employed prolific use of </w:t>
                </w:r>
                <w:proofErr w:type="spellStart"/>
                <w:r>
                  <w:rPr>
                    <w:i/>
                  </w:rPr>
                  <w:t>terre</w:t>
                </w:r>
                <w:proofErr w:type="spellEnd"/>
                <w:r>
                  <w:rPr>
                    <w:i/>
                  </w:rPr>
                  <w:t xml:space="preserve"> á </w:t>
                </w:r>
                <w:proofErr w:type="spellStart"/>
                <w:r>
                  <w:rPr>
                    <w:i/>
                  </w:rPr>
                  <w:t>terre</w:t>
                </w:r>
                <w:proofErr w:type="spellEnd"/>
                <w:r>
                  <w:t xml:space="preserve"> footwork, joined to form complex, multi-directional phrases, and much of Ashton’s choreographed mo</w:t>
                </w:r>
                <w:r w:rsidR="00AA4A78">
                  <w:t>vement draws on this technique.</w:t>
                </w:r>
                <w:r>
                  <w:t xml:space="preserve"> Besides being an enthusiastic teacher, </w:t>
                </w:r>
                <w:proofErr w:type="spellStart"/>
                <w:r>
                  <w:t>Rambert</w:t>
                </w:r>
                <w:proofErr w:type="spellEnd"/>
                <w:r>
                  <w:t xml:space="preserve"> had a particular gift for encouraging young choreographers, and sh</w:t>
                </w:r>
                <w:r w:rsidR="00AA4A78">
                  <w:t xml:space="preserve">e stimulated Ashton’s talents. </w:t>
                </w:r>
                <w:r>
                  <w:t>As a well-read woman with a circle of avant-garde artistic friends, she was ideally placed to educate and inspire the unformed Ashton, who blossomed in this modernist milieu.</w:t>
                </w:r>
              </w:p>
              <w:p w14:paraId="7AB0F018" w14:textId="77777777" w:rsidR="000551B0" w:rsidRDefault="000551B0" w:rsidP="000551B0"/>
              <w:p w14:paraId="70F7AF98" w14:textId="69A27E65" w:rsidR="000551B0" w:rsidRDefault="00AA4A78" w:rsidP="000551B0">
                <w:r>
                  <w:t>In 1928</w:t>
                </w:r>
                <w:r w:rsidR="000551B0">
                  <w:t xml:space="preserve"> Ashton was accepted</w:t>
                </w:r>
                <w:r>
                  <w:t xml:space="preserve"> by its choreographer, </w:t>
                </w:r>
                <w:proofErr w:type="spellStart"/>
                <w:r>
                  <w:t>Bronislava</w:t>
                </w:r>
                <w:proofErr w:type="spellEnd"/>
                <w:r>
                  <w:t xml:space="preserve"> </w:t>
                </w:r>
                <w:proofErr w:type="spellStart"/>
                <w:r>
                  <w:t>Nijinska</w:t>
                </w:r>
                <w:proofErr w:type="spellEnd"/>
                <w:r>
                  <w:t>,</w:t>
                </w:r>
                <w:r w:rsidR="000551B0">
                  <w:t xml:space="preserve"> </w:t>
                </w:r>
                <w:r>
                  <w:t xml:space="preserve">into Ida Rubinstein’s </w:t>
                </w:r>
                <w:proofErr w:type="gramStart"/>
                <w:r>
                  <w:t>newly-established</w:t>
                </w:r>
                <w:proofErr w:type="gramEnd"/>
                <w:r w:rsidR="000551B0">
                  <w:t xml:space="preserve"> ballet company</w:t>
                </w:r>
                <w:r>
                  <w:t xml:space="preserve"> in Paris. </w:t>
                </w:r>
                <w:r w:rsidR="000551B0">
                  <w:t xml:space="preserve">From </w:t>
                </w:r>
                <w:proofErr w:type="spellStart"/>
                <w:r w:rsidR="000551B0">
                  <w:t>Nijinska</w:t>
                </w:r>
                <w:proofErr w:type="spellEnd"/>
                <w:r w:rsidR="000551B0">
                  <w:t>, Ashton later claim</w:t>
                </w:r>
                <w:r>
                  <w:t>ed to have learned everything. She inspired him deeply</w:t>
                </w:r>
                <w:r w:rsidR="000551B0">
                  <w:t xml:space="preserve"> and he responded by forging a creative dialogue </w:t>
                </w:r>
                <w:r>
                  <w:t xml:space="preserve">between her works and his own. </w:t>
                </w:r>
                <w:r w:rsidR="000551B0">
                  <w:t>She had developed a new, even revolutionary, approach to ballet, experimenting with both training and choreography du</w:t>
                </w:r>
                <w:r>
                  <w:t>ring her years in Soviet Russia between 1917 and</w:t>
                </w:r>
                <w:r w:rsidR="000551B0">
                  <w:t xml:space="preserve"> 1921. Critical of the increasing tendency in ballet to give priority to static poses at the expense of action, she taught her dancers to thread movements together by omitting preparations</w:t>
                </w:r>
                <w:r>
                  <w:t>,</w:t>
                </w:r>
                <w:r w:rsidR="000551B0">
                  <w:t xml:space="preserve"> and encouraged them to create an impulse at the start of a movement rather t</w:t>
                </w:r>
                <w:r>
                  <w:t>han making an impact at the end;</w:t>
                </w:r>
                <w:r w:rsidR="000551B0">
                  <w:t xml:space="preserve"> </w:t>
                </w:r>
                <w:r w:rsidR="00B8175A">
                  <w:t xml:space="preserve">she stated, </w:t>
                </w:r>
                <w:r w:rsidR="000551B0">
                  <w:t xml:space="preserve">for example, </w:t>
                </w:r>
                <w:r w:rsidR="00B8175A">
                  <w:t xml:space="preserve">that </w:t>
                </w:r>
                <w:r w:rsidR="000551B0">
                  <w:t xml:space="preserve">in a </w:t>
                </w:r>
                <w:r w:rsidR="000551B0" w:rsidRPr="00B8175A">
                  <w:rPr>
                    <w:i/>
                  </w:rPr>
                  <w:t xml:space="preserve">grand </w:t>
                </w:r>
                <w:proofErr w:type="spellStart"/>
                <w:r w:rsidR="000551B0" w:rsidRPr="00B8175A">
                  <w:rPr>
                    <w:i/>
                  </w:rPr>
                  <w:t>jeté</w:t>
                </w:r>
                <w:proofErr w:type="spellEnd"/>
                <w:r w:rsidR="000551B0">
                  <w:t>, the dancer should emphasise the take-off rather than the ending, creating a buoyant movement as op</w:t>
                </w:r>
                <w:r w:rsidR="00B8175A">
                  <w:t xml:space="preserve">posed to a split in the air.  </w:t>
                </w:r>
                <w:r w:rsidR="000551B0">
                  <w:t xml:space="preserve">Absorbing this approach, </w:t>
                </w:r>
                <w:r w:rsidR="000551B0" w:rsidRPr="00CA28D6">
                  <w:t>Ashton’s movement is</w:t>
                </w:r>
                <w:r w:rsidR="000551B0">
                  <w:rPr>
                    <w:color w:val="FF0000"/>
                  </w:rPr>
                  <w:t xml:space="preserve"> </w:t>
                </w:r>
                <w:r w:rsidR="000551B0">
                  <w:t>usually generated</w:t>
                </w:r>
                <w:r w:rsidR="000551B0">
                  <w:rPr>
                    <w:color w:val="FF0000"/>
                  </w:rPr>
                  <w:t xml:space="preserve"> </w:t>
                </w:r>
                <w:r w:rsidR="000551B0">
                  <w:t>from the torso; it starts with an impulse, and is, a</w:t>
                </w:r>
                <w:r w:rsidR="00B8175A">
                  <w:t xml:space="preserve">bove all, dependent on motion. </w:t>
                </w:r>
                <w:r w:rsidR="000551B0">
                  <w:t>It requires the body to twist, turn, curve, bend, swoop and stretch</w:t>
                </w:r>
                <w:r w:rsidR="00B8175A">
                  <w:t>,</w:t>
                </w:r>
                <w:r w:rsidR="000551B0">
                  <w:t xml:space="preserve"> and combine all of this with swift, intricate footwork. The opening phrase of Natasha’s dance in </w:t>
                </w:r>
                <w:r w:rsidR="000551B0">
                  <w:rPr>
                    <w:i/>
                  </w:rPr>
                  <w:t>A Month in the Country</w:t>
                </w:r>
                <w:r w:rsidR="000551B0">
                  <w:t xml:space="preserve"> (1976) is a good example. </w:t>
                </w:r>
              </w:p>
              <w:p w14:paraId="69184331" w14:textId="77777777" w:rsidR="000551B0" w:rsidRDefault="000551B0" w:rsidP="000551B0"/>
              <w:p w14:paraId="62D69B12" w14:textId="14E87E9E" w:rsidR="000551B0" w:rsidRDefault="000551B0" w:rsidP="000551B0">
                <w:r>
                  <w:t>An equally significant strand is the movement he absorbed from both working in and choreographing for London revues o</w:t>
                </w:r>
                <w:r w:rsidR="00B8175A">
                  <w:t xml:space="preserve">f the 1920s and 1930s. </w:t>
                </w:r>
                <w:r>
                  <w:t>There he encountered the African-American choreographer Buddy Bradley</w:t>
                </w:r>
                <w:r w:rsidR="00B8175A">
                  <w:t>,</w:t>
                </w:r>
                <w:r>
                  <w:t xml:space="preserve"> with whom he collabor</w:t>
                </w:r>
                <w:r w:rsidR="00B8175A">
                  <w:t>ated in several Cochran revues.</w:t>
                </w:r>
                <w:r>
                  <w:t xml:space="preserve"> It was from these eclectic experiences that Ashton drew his dance material, and the dancers he worked with, who also contributed to his dance style, ha</w:t>
                </w:r>
                <w:r w:rsidR="00B8175A">
                  <w:t xml:space="preserve">d equally diverse backgrounds. </w:t>
                </w:r>
                <w:r>
                  <w:t>They came from a rang</w:t>
                </w:r>
                <w:r w:rsidR="00B8175A">
                  <w:t>e of different training systems:</w:t>
                </w:r>
                <w:r>
                  <w:t xml:space="preserve"> Imperial Russian, </w:t>
                </w:r>
                <w:proofErr w:type="spellStart"/>
                <w:r>
                  <w:t>Cecchetti</w:t>
                </w:r>
                <w:proofErr w:type="spellEnd"/>
                <w:r>
                  <w:t xml:space="preserve"> and the Royal Academy of Dancing, and, because there were only fledgling ballet companies, providing little more than six to nine months paid work, the dancers also had to be equipped to perform in other dance genres, such as tap and revue-dancing.</w:t>
                </w:r>
              </w:p>
              <w:p w14:paraId="5E07ED6F" w14:textId="77777777" w:rsidR="000551B0" w:rsidRDefault="000551B0" w:rsidP="000551B0">
                <w:pPr>
                  <w:ind w:firstLine="720"/>
                </w:pPr>
              </w:p>
              <w:p w14:paraId="712CAABD" w14:textId="77777777" w:rsidR="000551B0" w:rsidRPr="000250BB" w:rsidRDefault="000551B0" w:rsidP="00B8175A">
                <w:pPr>
                  <w:pStyle w:val="Heading1"/>
                  <w:outlineLvl w:val="0"/>
                </w:pPr>
                <w:r w:rsidRPr="000250BB">
                  <w:t>Major Contributions to Ballet in Britain and to Modernism</w:t>
                </w:r>
              </w:p>
              <w:p w14:paraId="599F18AF" w14:textId="29177781" w:rsidR="000551B0" w:rsidRDefault="000551B0" w:rsidP="000551B0">
                <w:pPr>
                  <w:rPr>
                    <w:u w:val="single"/>
                  </w:rPr>
                </w:pPr>
                <w:r>
                  <w:t>Ashton was a supreme craftsman as well as an in</w:t>
                </w:r>
                <w:r w:rsidR="00B8175A">
                  <w:t xml:space="preserve">novator. </w:t>
                </w:r>
                <w:r>
                  <w:t>His choreography defined British ballet, placing it within a</w:t>
                </w:r>
                <w:r w:rsidR="00B8175A">
                  <w:t>n</w:t>
                </w:r>
                <w:r>
                  <w:t xml:space="preserve"> historical context by layering it with allusions</w:t>
                </w:r>
                <w:r w:rsidR="00B8175A">
                  <w:t>,</w:t>
                </w:r>
                <w:r>
                  <w:t xml:space="preserve"> both to hi</w:t>
                </w:r>
                <w:r w:rsidR="00B8175A">
                  <w:t xml:space="preserve">s own work and to that of others. </w:t>
                </w:r>
                <w:r>
                  <w:t>Sometimes these are comical</w:t>
                </w:r>
                <w:r w:rsidR="00B8175A">
                  <w:t>,</w:t>
                </w:r>
                <w:r>
                  <w:t xml:space="preserve"> as when he parodies </w:t>
                </w:r>
                <w:commentRangeStart w:id="0"/>
                <w:r>
                  <w:t xml:space="preserve">George Balanchine’s </w:t>
                </w:r>
                <w:r>
                  <w:rPr>
                    <w:i/>
                  </w:rPr>
                  <w:t>Apollo</w:t>
                </w:r>
                <w:r>
                  <w:t xml:space="preserve"> (1928) in Tuesday’s Child in </w:t>
                </w:r>
                <w:r>
                  <w:rPr>
                    <w:i/>
                  </w:rPr>
                  <w:t>Jazz Calendar</w:t>
                </w:r>
                <w:r>
                  <w:t xml:space="preserve"> (1968)</w:t>
                </w:r>
                <w:r w:rsidR="00B8175A">
                  <w:t>,</w:t>
                </w:r>
                <w:r>
                  <w:t xml:space="preserve"> </w:t>
                </w:r>
                <w:commentRangeEnd w:id="0"/>
                <w:r w:rsidR="00B8175A">
                  <w:rPr>
                    <w:rStyle w:val="CommentReference"/>
                  </w:rPr>
                  <w:commentReference w:id="0"/>
                </w:r>
                <w:r>
                  <w:t xml:space="preserve">or when Aurora’s </w:t>
                </w:r>
                <w:r w:rsidRPr="00B8175A">
                  <w:rPr>
                    <w:i/>
                  </w:rPr>
                  <w:t xml:space="preserve">pas de </w:t>
                </w:r>
                <w:proofErr w:type="spellStart"/>
                <w:r w:rsidRPr="00B8175A">
                  <w:rPr>
                    <w:i/>
                  </w:rPr>
                  <w:t>deux</w:t>
                </w:r>
                <w:proofErr w:type="spellEnd"/>
                <w:r w:rsidR="00B8175A">
                  <w:rPr>
                    <w:i/>
                  </w:rPr>
                  <w:t>,</w:t>
                </w:r>
                <w:r>
                  <w:t xml:space="preserve"> from Act III of </w:t>
                </w:r>
                <w:r>
                  <w:rPr>
                    <w:i/>
                  </w:rPr>
                  <w:t>The Sleeping Beauty</w:t>
                </w:r>
                <w:r>
                  <w:t xml:space="preserve"> (1890)</w:t>
                </w:r>
                <w:r w:rsidR="00B8175A">
                  <w:t>, is mocked by the two piglets from the</w:t>
                </w:r>
                <w:r>
                  <w:t xml:space="preserve"> </w:t>
                </w:r>
                <w:r>
                  <w:rPr>
                    <w:i/>
                  </w:rPr>
                  <w:t>Tales of Beatrix Potter</w:t>
                </w:r>
                <w:r w:rsidR="00B8175A">
                  <w:t xml:space="preserve"> (1970). </w:t>
                </w:r>
                <w:r>
                  <w:t>At other times his quotes are referential, citing dances by</w:t>
                </w:r>
                <w:r w:rsidR="007710EB">
                  <w:t xml:space="preserve"> </w:t>
                </w:r>
                <w:proofErr w:type="spellStart"/>
                <w:r w:rsidR="007710EB">
                  <w:t>Pavlova</w:t>
                </w:r>
                <w:proofErr w:type="spellEnd"/>
                <w:r w:rsidR="007710EB">
                  <w:t xml:space="preserve">, Duncan and </w:t>
                </w:r>
                <w:proofErr w:type="spellStart"/>
                <w:r w:rsidR="007710EB">
                  <w:t>Nijinska</w:t>
                </w:r>
                <w:proofErr w:type="spellEnd"/>
                <w:r w:rsidR="007710EB">
                  <w:t xml:space="preserve">. </w:t>
                </w:r>
                <w:r>
                  <w:t xml:space="preserve">Ashton’s works were also infused with human qualities, and his parodies are more affectionate than </w:t>
                </w:r>
                <w:r>
                  <w:lastRenderedPageBreak/>
                  <w:t>wicke</w:t>
                </w:r>
                <w:r w:rsidR="007710EB">
                  <w:t xml:space="preserve">d, more humorous than mocking. </w:t>
                </w:r>
                <w:r>
                  <w:t>Drawn from an eclectic range of dance styles, his choreography rarely appears athletic, tending more t</w:t>
                </w:r>
                <w:r w:rsidR="007710EB">
                  <w:t xml:space="preserve">owards restraint and subtlety. </w:t>
                </w:r>
                <w:r>
                  <w:t>These are regarded as particularly British qualities and considered central to British ballet, cer</w:t>
                </w:r>
                <w:r w:rsidR="007710EB">
                  <w:t>tainly during the Ashton years.</w:t>
                </w:r>
                <w:r>
                  <w:t xml:space="preserve"> Indeed</w:t>
                </w:r>
                <w:r w:rsidR="007710EB">
                  <w:t>,</w:t>
                </w:r>
                <w:r>
                  <w:t xml:space="preserve"> such qualities still</w:t>
                </w:r>
                <w:r w:rsidR="007710EB">
                  <w:t xml:space="preserve"> lurk in the training syllabi</w:t>
                </w:r>
                <w:r>
                  <w:t xml:space="preserve"> of The Royal Academy of Dance (RAD) and the Imperial Society of Teachers of Dancing (ISTD).</w:t>
                </w:r>
              </w:p>
              <w:p w14:paraId="4782CD83" w14:textId="77777777" w:rsidR="000551B0" w:rsidRDefault="000551B0" w:rsidP="000551B0"/>
              <w:p w14:paraId="0012EF90" w14:textId="32251721" w:rsidR="000551B0" w:rsidRDefault="000551B0" w:rsidP="000551B0">
                <w:r>
                  <w:t xml:space="preserve">From the 1930s, </w:t>
                </w:r>
                <w:r>
                  <w:rPr>
                    <w:i/>
                  </w:rPr>
                  <w:t>A Wedding Bouquet</w:t>
                </w:r>
                <w:r>
                  <w:t xml:space="preserve"> (1937) stands out a</w:t>
                </w:r>
                <w:r w:rsidR="007710EB">
                  <w:t xml:space="preserve">s a supremely modernist dance. </w:t>
                </w:r>
                <w:r>
                  <w:t>It was the result of an alliance between Ashton, the composer Lord Berners and</w:t>
                </w:r>
                <w:r w:rsidR="007710EB">
                  <w:t xml:space="preserve"> Gertrude</w:t>
                </w:r>
                <w:r>
                  <w:t xml:space="preserve"> Stein. Stein’s words, taken from her play </w:t>
                </w:r>
                <w:r>
                  <w:rPr>
                    <w:i/>
                  </w:rPr>
                  <w:t xml:space="preserve">They Must. Be Wedded. To Their Wife </w:t>
                </w:r>
                <w:r>
                  <w:t>(1931), were set to music by Berners, who also d</w:t>
                </w:r>
                <w:r w:rsidR="007710EB">
                  <w:t xml:space="preserve">esigned the sets and costumes. </w:t>
                </w:r>
                <w:r>
                  <w:t>The loose subject of the ballet is a wedding set in a French provincial town, and the words are central both to the attributes of the characters and to the way those att</w:t>
                </w:r>
                <w:r w:rsidR="007710EB">
                  <w:t>ributes are expressed in dance; f</w:t>
                </w:r>
                <w:r>
                  <w:t xml:space="preserve">or example, when the character Julia is ‘forlorn’, her emotional state is evident in her sudden collapses and despondent </w:t>
                </w:r>
                <w:r>
                  <w:rPr>
                    <w:i/>
                  </w:rPr>
                  <w:t xml:space="preserve">pas de </w:t>
                </w:r>
                <w:proofErr w:type="spellStart"/>
                <w:r>
                  <w:rPr>
                    <w:i/>
                  </w:rPr>
                  <w:t>bourrée</w:t>
                </w:r>
                <w:proofErr w:type="spellEnd"/>
                <w:r>
                  <w:rPr>
                    <w:i/>
                  </w:rPr>
                  <w:t xml:space="preserve"> </w:t>
                </w:r>
                <w:proofErr w:type="spellStart"/>
                <w:r>
                  <w:rPr>
                    <w:i/>
                  </w:rPr>
                  <w:t>couru</w:t>
                </w:r>
                <w:proofErr w:type="spellEnd"/>
                <w:r w:rsidR="007710EB">
                  <w:t xml:space="preserve">. </w:t>
                </w:r>
                <w:r>
                  <w:t>Sometimes, Ashton li</w:t>
                </w:r>
                <w:r w:rsidR="007710EB">
                  <w:t>terally responds to the words: m</w:t>
                </w:r>
                <w:r>
                  <w:t>ultiple repetitions of verbal phrases are matched by multipl</w:t>
                </w:r>
                <w:r w:rsidR="007710EB">
                  <w:t>e repetitions of step phrases. In many ways this</w:t>
                </w:r>
                <w:r>
                  <w:t xml:space="preserve"> ballet is an essay on the </w:t>
                </w:r>
                <w:r>
                  <w:rPr>
                    <w:i/>
                  </w:rPr>
                  <w:t xml:space="preserve">pas de </w:t>
                </w:r>
                <w:proofErr w:type="spellStart"/>
                <w:r>
                  <w:rPr>
                    <w:i/>
                  </w:rPr>
                  <w:t>bourrée</w:t>
                </w:r>
                <w:proofErr w:type="spellEnd"/>
                <w:r>
                  <w:t>, a rhythmic movement w</w:t>
                </w:r>
                <w:r w:rsidR="007710EB">
                  <w:t xml:space="preserve">ith a triple change of weight. </w:t>
                </w:r>
                <w:r>
                  <w:t>Just as Stein drew on cubism to inform her work, deconstructing the words and changing their function so as to make the writing more abstract, so Ashton deconst</w:t>
                </w:r>
                <w:r w:rsidR="007710EB">
                  <w:t>ructed ballet’s codified steps.</w:t>
                </w:r>
                <w:r>
                  <w:t xml:space="preserve"> He changed their function and made linking steps the main focus, often giving them prominence over major steps.</w:t>
                </w:r>
              </w:p>
              <w:p w14:paraId="717D1A09" w14:textId="77777777" w:rsidR="000551B0" w:rsidRDefault="000551B0" w:rsidP="000551B0"/>
              <w:p w14:paraId="675CCA59" w14:textId="7BF3B733" w:rsidR="000551B0" w:rsidRDefault="000551B0" w:rsidP="000551B0">
                <w:r>
                  <w:t xml:space="preserve">In the years after the Second World War, Ashton created a number of </w:t>
                </w:r>
                <w:proofErr w:type="spellStart"/>
                <w:r>
                  <w:t>plotless</w:t>
                </w:r>
                <w:proofErr w:type="spellEnd"/>
                <w:r>
                  <w:t xml:space="preserve"> ballets. Both </w:t>
                </w:r>
                <w:r>
                  <w:rPr>
                    <w:i/>
                  </w:rPr>
                  <w:t>Symphonic Variations</w:t>
                </w:r>
                <w:r>
                  <w:t xml:space="preserve"> (1946) and </w:t>
                </w:r>
                <w:proofErr w:type="spellStart"/>
                <w:r>
                  <w:rPr>
                    <w:i/>
                  </w:rPr>
                  <w:t>Scènes</w:t>
                </w:r>
                <w:proofErr w:type="spellEnd"/>
                <w:r>
                  <w:rPr>
                    <w:i/>
                  </w:rPr>
                  <w:t xml:space="preserve"> de ballet</w:t>
                </w:r>
                <w:r>
                  <w:t xml:space="preserve"> (1948) were experiments in pure </w:t>
                </w:r>
                <w:r w:rsidR="007710EB">
                  <w:t xml:space="preserve">dance. </w:t>
                </w:r>
                <w:r>
                  <w:t>The former, a work for three men and three women, was performed on a bare stage with a striking abstract backcloth by Ashton’s frequent col</w:t>
                </w:r>
                <w:r w:rsidR="007710EB">
                  <w:t xml:space="preserve">laborator, Sophie </w:t>
                </w:r>
                <w:proofErr w:type="spellStart"/>
                <w:r w:rsidR="007710EB">
                  <w:t>Fedorovitch</w:t>
                </w:r>
                <w:proofErr w:type="spellEnd"/>
                <w:r w:rsidR="007710EB">
                  <w:t xml:space="preserve">. </w:t>
                </w:r>
                <w:r>
                  <w:t>Giving a significant nod to modernist t</w:t>
                </w:r>
                <w:r w:rsidR="007710EB">
                  <w:t>enets, the work’s finely pared-</w:t>
                </w:r>
                <w:r>
                  <w:t>down choreography drew on a limited range of steps, and the opening motif, in which the arms draw elliptical patterns around the body, anticipates the spare economic</w:t>
                </w:r>
                <w:r w:rsidR="007710EB">
                  <w:t xml:space="preserve">al choreography which follows. </w:t>
                </w:r>
                <w:r>
                  <w:t xml:space="preserve">Inspired by Ashton’s readings of the mystic saints, St. Theresa of Avila and St. John of the </w:t>
                </w:r>
                <w:proofErr w:type="gramStart"/>
                <w:r>
                  <w:t>Cross,</w:t>
                </w:r>
                <w:proofErr w:type="gramEnd"/>
                <w:r>
                  <w:t xml:space="preserve"> the ballet concerned divine love and ecstasy.  Despite this, there is no narrative; the theme is expressed wholly through movement.</w:t>
                </w:r>
              </w:p>
              <w:p w14:paraId="6DCBA25A" w14:textId="77777777" w:rsidR="000551B0" w:rsidRDefault="000551B0" w:rsidP="000551B0"/>
              <w:p w14:paraId="382057B9" w14:textId="1C518CDB" w:rsidR="000551B0" w:rsidRDefault="000551B0" w:rsidP="000551B0">
                <w:proofErr w:type="spellStart"/>
                <w:r>
                  <w:rPr>
                    <w:i/>
                  </w:rPr>
                  <w:t>Scènes</w:t>
                </w:r>
                <w:proofErr w:type="spellEnd"/>
                <w:r>
                  <w:rPr>
                    <w:i/>
                  </w:rPr>
                  <w:t xml:space="preserve"> de ballet</w:t>
                </w:r>
                <w:r>
                  <w:t>, choreographed to Stravinsky’s music, is a dance for five men, twelve w</w:t>
                </w:r>
                <w:r w:rsidR="007710EB">
                  <w:t>omen and a female soloist. Dominated by geometric patterns</w:t>
                </w:r>
                <w:r>
                  <w:t xml:space="preserve"> adapted from Euclid, the first section is danc</w:t>
                </w:r>
                <w:r w:rsidR="007710EB">
                  <w:t xml:space="preserve">ed mainly by the twelve women. </w:t>
                </w:r>
                <w:r>
                  <w:t>Their sharp, sparkling footwork and piercing arm patterns send sparks into the surro</w:t>
                </w:r>
                <w:r w:rsidR="007813B8">
                  <w:t>unding space, setting the tone.</w:t>
                </w:r>
                <w:r>
                  <w:t xml:space="preserve"> Here Ashton abandons the lyricism of </w:t>
                </w:r>
                <w:r>
                  <w:rPr>
                    <w:i/>
                  </w:rPr>
                  <w:t>Symphonic Variations</w:t>
                </w:r>
                <w:r>
                  <w:t xml:space="preserve"> in favour of a colder, more ha</w:t>
                </w:r>
                <w:r w:rsidR="007813B8">
                  <w:t xml:space="preserve">rd-edged approach to movement. </w:t>
                </w:r>
                <w:r>
                  <w:t xml:space="preserve">Inspired by the Stravinsky music, originally made for a Broadway revue, the ballet is probably one of Ashton’s most abstract works. </w:t>
                </w:r>
              </w:p>
              <w:p w14:paraId="4BD225F4" w14:textId="77777777" w:rsidR="000551B0" w:rsidRDefault="000551B0" w:rsidP="000551B0">
                <w:pPr>
                  <w:rPr>
                    <w:i/>
                  </w:rPr>
                </w:pPr>
              </w:p>
              <w:p w14:paraId="5806E1FF" w14:textId="12D574AA" w:rsidR="000551B0" w:rsidRDefault="000551B0" w:rsidP="000551B0">
                <w:r>
                  <w:t xml:space="preserve">Ashton was opposed to ballets with complex narratives and frequently reduced stories to a single narrative thread. The story in </w:t>
                </w:r>
                <w:r>
                  <w:rPr>
                    <w:i/>
                  </w:rPr>
                  <w:t>A Wedding Bouquet</w:t>
                </w:r>
                <w:r w:rsidR="007813B8">
                  <w:t xml:space="preserve"> is slight. </w:t>
                </w:r>
                <w:r>
                  <w:t xml:space="preserve">A wedding takes place, but as in </w:t>
                </w:r>
                <w:proofErr w:type="spellStart"/>
                <w:r>
                  <w:t>Nijinska’s</w:t>
                </w:r>
                <w:proofErr w:type="spellEnd"/>
                <w:r>
                  <w:t xml:space="preserve"> </w:t>
                </w:r>
                <w:r>
                  <w:rPr>
                    <w:i/>
                  </w:rPr>
                  <w:t xml:space="preserve">Les </w:t>
                </w:r>
                <w:proofErr w:type="spellStart"/>
                <w:r>
                  <w:rPr>
                    <w:i/>
                  </w:rPr>
                  <w:t>Biches</w:t>
                </w:r>
                <w:proofErr w:type="spellEnd"/>
                <w:r>
                  <w:t xml:space="preserve"> (1924, </w:t>
                </w:r>
                <w:r w:rsidRPr="002E4B16">
                  <w:t>performed in England as</w:t>
                </w:r>
                <w:r w:rsidRPr="002E4B16">
                  <w:rPr>
                    <w:i/>
                  </w:rPr>
                  <w:t xml:space="preserve"> The House Party</w:t>
                </w:r>
                <w:r>
                  <w:t>), the work hints more at sex and the earlier conduct of the character</w:t>
                </w:r>
                <w:r w:rsidR="007813B8">
                  <w:t>s.</w:t>
                </w:r>
                <w:r>
                  <w:t xml:space="preserve"> None are quite what they seem, and the Sapphic couple from </w:t>
                </w:r>
                <w:r>
                  <w:rPr>
                    <w:i/>
                  </w:rPr>
                  <w:t xml:space="preserve">Les </w:t>
                </w:r>
                <w:proofErr w:type="spellStart"/>
                <w:r>
                  <w:rPr>
                    <w:i/>
                  </w:rPr>
                  <w:t>Biches</w:t>
                </w:r>
                <w:proofErr w:type="spellEnd"/>
                <w:r w:rsidR="007813B8">
                  <w:t xml:space="preserve"> re-emerges as two bridesmaids. </w:t>
                </w:r>
                <w:r>
                  <w:t xml:space="preserve">During the war, he made several quasi-narrative works, such as </w:t>
                </w:r>
                <w:r>
                  <w:rPr>
                    <w:i/>
                  </w:rPr>
                  <w:t>Dante Sonata</w:t>
                </w:r>
                <w:r>
                  <w:t xml:space="preserve"> (1940) and </w:t>
                </w:r>
                <w:r>
                  <w:rPr>
                    <w:i/>
                  </w:rPr>
                  <w:t>The Wanderer</w:t>
                </w:r>
                <w:r w:rsidR="007813B8">
                  <w:t xml:space="preserve"> (1941). </w:t>
                </w:r>
                <w:r>
                  <w:t xml:space="preserve">Themes of light and darkness and the futility of war pervaded </w:t>
                </w:r>
                <w:r>
                  <w:rPr>
                    <w:i/>
                  </w:rPr>
                  <w:t>Dante Sonata</w:t>
                </w:r>
                <w:r>
                  <w:t xml:space="preserve">, which was performed in bare feet. The theme of </w:t>
                </w:r>
                <w:r>
                  <w:rPr>
                    <w:i/>
                  </w:rPr>
                  <w:t>The Wanderer</w:t>
                </w:r>
                <w:r>
                  <w:t xml:space="preserve"> was equally elliptical, centring on a Traveller’s struggle to choose between worldly glitter and the spirituality of the inner life.  </w:t>
                </w:r>
              </w:p>
              <w:p w14:paraId="1B18E41B" w14:textId="77777777" w:rsidR="000551B0" w:rsidRDefault="000551B0" w:rsidP="000551B0"/>
              <w:p w14:paraId="24F3ABF0" w14:textId="3AE8D0B8" w:rsidR="000551B0" w:rsidRDefault="000551B0" w:rsidP="000551B0">
                <w:r>
                  <w:t xml:space="preserve">Although the later Ashton is best known for narrative ballets such as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(1960) and </w:t>
                </w:r>
                <w:r>
                  <w:rPr>
                    <w:i/>
                  </w:rPr>
                  <w:t>The Dream</w:t>
                </w:r>
                <w:r>
                  <w:t xml:space="preserve"> (1964), he never entirely a</w:t>
                </w:r>
                <w:r w:rsidR="007813B8">
                  <w:t>bandoned his earlier modernism.</w:t>
                </w:r>
                <w:r>
                  <w:t xml:space="preserve"> In</w:t>
                </w:r>
                <w:r>
                  <w:rPr>
                    <w:i/>
                  </w:rPr>
                  <w:t xml:space="preserve"> La </w:t>
                </w:r>
                <w:proofErr w:type="spellStart"/>
                <w:r>
                  <w:rPr>
                    <w:i/>
                  </w:rPr>
                  <w:t>Valse</w:t>
                </w:r>
                <w:proofErr w:type="spellEnd"/>
                <w:r>
                  <w:t xml:space="preserve"> (1958), a </w:t>
                </w:r>
                <w:proofErr w:type="spellStart"/>
                <w:r>
                  <w:t>plotless</w:t>
                </w:r>
                <w:proofErr w:type="spellEnd"/>
                <w:r>
                  <w:t xml:space="preserve"> work to the music of Maurice Ravel, he revisited a ballet first choreographed by </w:t>
                </w:r>
                <w:proofErr w:type="spellStart"/>
                <w:r>
                  <w:t>Nijinska</w:t>
                </w:r>
                <w:proofErr w:type="spellEnd"/>
                <w:r>
                  <w:t xml:space="preserve">, </w:t>
                </w:r>
                <w:r>
                  <w:lastRenderedPageBreak/>
                  <w:t xml:space="preserve">using the grand swooping movements of the waltz to evoke the decadent atmosphere of Vienna before World War I.  In </w:t>
                </w:r>
                <w:r>
                  <w:rPr>
                    <w:i/>
                  </w:rPr>
                  <w:t>Monotones I &amp; II</w:t>
                </w:r>
                <w:r>
                  <w:t xml:space="preserve"> (1965-66) Ashton returned to the spare, pared-down choreography of his earlier pure dance works. Finally, </w:t>
                </w:r>
                <w:r>
                  <w:rPr>
                    <w:i/>
                  </w:rPr>
                  <w:t>Jazz Calendar</w:t>
                </w:r>
                <w:r>
                  <w:t xml:space="preserve"> (1968) was another work that looked back – this time to the dances and sounds of the Jazz Age, even though Derek </w:t>
                </w:r>
                <w:proofErr w:type="spellStart"/>
                <w:r>
                  <w:t>Jarman’s</w:t>
                </w:r>
                <w:proofErr w:type="spellEnd"/>
                <w:r>
                  <w:t xml:space="preserve"> scenery and costumes were perceived as the epitome of swinging London. </w:t>
                </w:r>
              </w:p>
              <w:p w14:paraId="683E36BC" w14:textId="77777777" w:rsidR="000551B0" w:rsidRDefault="000551B0" w:rsidP="000551B0"/>
              <w:p w14:paraId="35C6B4B2" w14:textId="77777777" w:rsidR="000551B0" w:rsidRDefault="000551B0" w:rsidP="007813B8">
                <w:pPr>
                  <w:pStyle w:val="Heading1"/>
                  <w:outlineLvl w:val="0"/>
                </w:pPr>
                <w:r>
                  <w:t>Legacy</w:t>
                </w:r>
              </w:p>
              <w:p w14:paraId="230EE7CF" w14:textId="5676F535" w:rsidR="000551B0" w:rsidRDefault="000551B0" w:rsidP="000551B0">
                <w:r>
                  <w:t>Although Ashton’s work did not make a complete break with the past, it owes little to</w:t>
                </w:r>
                <w:r w:rsidR="007813B8">
                  <w:t xml:space="preserve"> earlier English choreography. </w:t>
                </w:r>
                <w:r>
                  <w:t>Ashton developed his own dance language, liberating the humble linking step and giving it a prominence that no other choreographer</w:t>
                </w:r>
                <w:r w:rsidR="007813B8">
                  <w:t xml:space="preserve"> had</w:t>
                </w:r>
                <w:r>
                  <w:t xml:space="preserve"> dared to do, </w:t>
                </w:r>
                <w:r w:rsidRPr="00DD1036">
                  <w:t xml:space="preserve">except perhaps </w:t>
                </w:r>
                <w:proofErr w:type="spellStart"/>
                <w:r w:rsidRPr="00DD1036">
                  <w:t>Nijinska</w:t>
                </w:r>
                <w:proofErr w:type="spellEnd"/>
                <w:r w:rsidR="007813B8">
                  <w:t>,</w:t>
                </w:r>
                <w:r w:rsidRPr="00DD1036">
                  <w:t xml:space="preserve"> and later George Balanchine. Despite the centrality of pure dance to</w:t>
                </w:r>
                <w:r>
                  <w:t xml:space="preserve"> his works, he created dances and phrases </w:t>
                </w:r>
                <w:r w:rsidR="007813B8">
                  <w:t>that</w:t>
                </w:r>
                <w:r>
                  <w:t xml:space="preserve"> gave prominence to expres</w:t>
                </w:r>
                <w:r w:rsidR="007813B8">
                  <w:t xml:space="preserve">sivity over technical bravura. </w:t>
                </w:r>
                <w:r>
                  <w:t>Bringing the whole body into play, his dance movement is not just expressive but complex, innovati</w:t>
                </w:r>
                <w:r w:rsidR="007813B8">
                  <w:t xml:space="preserve">ve and demanding to perform. </w:t>
                </w:r>
                <w:r>
                  <w:t xml:space="preserve">His dances are virtuoso dances without virtuoso movement.  </w:t>
                </w:r>
              </w:p>
              <w:p w14:paraId="0DDFAD32" w14:textId="77777777" w:rsidR="000551B0" w:rsidRDefault="000551B0" w:rsidP="000551B0"/>
              <w:p w14:paraId="59040518" w14:textId="5425E297" w:rsidR="000551B0" w:rsidRDefault="000551B0" w:rsidP="000551B0">
                <w:r>
                  <w:t xml:space="preserve">While music was often the genesis for Ashton’s works, his choreographic </w:t>
                </w:r>
                <w:r w:rsidRPr="00DD1036">
                  <w:rPr>
                    <w:i/>
                  </w:rPr>
                  <w:t>oeuvre</w:t>
                </w:r>
                <w:r>
                  <w:t xml:space="preserve"> includes narrative, thema</w:t>
                </w:r>
                <w:r w:rsidR="007813B8">
                  <w:t xml:space="preserve">tic and wholly </w:t>
                </w:r>
                <w:proofErr w:type="spellStart"/>
                <w:r w:rsidR="007813B8">
                  <w:t>plotless</w:t>
                </w:r>
                <w:proofErr w:type="spellEnd"/>
                <w:r w:rsidR="007813B8">
                  <w:t xml:space="preserve"> works. </w:t>
                </w:r>
                <w:r>
                  <w:t xml:space="preserve">His chosen narratives are slight, though as the dance writer Edwin </w:t>
                </w:r>
                <w:proofErr w:type="spellStart"/>
                <w:r>
                  <w:t>Denby</w:t>
                </w:r>
                <w:proofErr w:type="spellEnd"/>
                <w:r>
                  <w:t xml:space="preserve"> pointed out, the ‘more trivial the subject the deeper and more beautiful is Ashton’s poetic view of it’.</w:t>
                </w:r>
                <w:r w:rsidRPr="00564DA3">
                  <w:rPr>
                    <w:rStyle w:val="FootnoteReference"/>
                  </w:rPr>
                  <w:footnoteReference w:id="1"/>
                </w:r>
                <w:r w:rsidRPr="00564DA3">
                  <w:rPr>
                    <w:vertAlign w:val="superscript"/>
                  </w:rPr>
                  <w:t xml:space="preserve"> </w:t>
                </w:r>
                <w:r w:rsidR="007813B8">
                  <w:t xml:space="preserve"> </w:t>
                </w:r>
                <w:r>
                  <w:t xml:space="preserve">Ashton’s task was to establish a British style of ballet, and he did this by allying his art with the strategies and approaches of modernism. </w:t>
                </w:r>
              </w:p>
              <w:p w14:paraId="18AA1A23" w14:textId="77777777" w:rsidR="000A346B" w:rsidRDefault="000A346B" w:rsidP="000A346B">
                <w:pPr>
                  <w:pStyle w:val="Heading1"/>
                  <w:outlineLvl w:val="0"/>
                </w:pPr>
              </w:p>
              <w:p w14:paraId="0CFDF37D" w14:textId="77777777" w:rsidR="000A346B" w:rsidRDefault="000A346B" w:rsidP="000A346B">
                <w:r>
                  <w:rPr>
                    <w:vertAlign w:val="superscript"/>
                  </w:rPr>
                  <w:footnoteRef/>
                </w:r>
                <w:r>
                  <w:t xml:space="preserve"> </w:t>
                </w:r>
                <w:proofErr w:type="spellStart"/>
                <w:r>
                  <w:t>Denby</w:t>
                </w:r>
                <w:proofErr w:type="spellEnd"/>
                <w:r>
                  <w:t xml:space="preserve"> Edwin (1986) </w:t>
                </w:r>
                <w:r>
                  <w:rPr>
                    <w:i/>
                  </w:rPr>
                  <w:t>Dance Writings</w:t>
                </w:r>
                <w:r>
                  <w:t>, London: Dance Books: 426.</w:t>
                </w:r>
              </w:p>
              <w:p w14:paraId="65F173C7" w14:textId="77777777" w:rsidR="000A346B" w:rsidRDefault="000A346B" w:rsidP="000A346B">
                <w:pPr>
                  <w:pStyle w:val="Heading1"/>
                  <w:outlineLvl w:val="0"/>
                </w:pPr>
              </w:p>
              <w:p w14:paraId="279EFACE" w14:textId="77777777" w:rsidR="000A346B" w:rsidRPr="00E67A47" w:rsidRDefault="000A346B" w:rsidP="000A346B">
                <w:pPr>
                  <w:pStyle w:val="Heading1"/>
                  <w:outlineLvl w:val="0"/>
                </w:pPr>
                <w:r>
                  <w:t xml:space="preserve">Selected </w:t>
                </w:r>
                <w:r w:rsidRPr="00E67A47">
                  <w:t>List of Works</w:t>
                </w:r>
              </w:p>
              <w:p w14:paraId="19087759" w14:textId="77777777" w:rsidR="000A346B" w:rsidRDefault="000A346B" w:rsidP="000A346B">
                <w:r>
                  <w:rPr>
                    <w:i/>
                  </w:rPr>
                  <w:t>A Tragedy of Fashion</w:t>
                </w:r>
                <w:r>
                  <w:t xml:space="preserve"> (1926)</w:t>
                </w:r>
              </w:p>
              <w:p w14:paraId="74D741E2" w14:textId="77777777" w:rsidR="000A346B" w:rsidRDefault="000A346B" w:rsidP="000A346B">
                <w:r>
                  <w:rPr>
                    <w:i/>
                  </w:rPr>
                  <w:t>The Fairy-Queen</w:t>
                </w:r>
                <w:r>
                  <w:t xml:space="preserve"> (1927)</w:t>
                </w:r>
              </w:p>
              <w:p w14:paraId="01076FEB" w14:textId="77777777" w:rsidR="000A346B" w:rsidRDefault="000A346B" w:rsidP="000A346B">
                <w:r>
                  <w:rPr>
                    <w:i/>
                  </w:rPr>
                  <w:t>Leda</w:t>
                </w:r>
                <w:r>
                  <w:t xml:space="preserve"> (1928)</w:t>
                </w:r>
              </w:p>
              <w:p w14:paraId="155D44BE" w14:textId="77777777" w:rsidR="000A346B" w:rsidRDefault="000A346B" w:rsidP="000A346B">
                <w:proofErr w:type="spellStart"/>
                <w:r>
                  <w:rPr>
                    <w:i/>
                  </w:rPr>
                  <w:t>Capriol</w:t>
                </w:r>
                <w:proofErr w:type="spellEnd"/>
                <w:r>
                  <w:rPr>
                    <w:i/>
                  </w:rPr>
                  <w:t xml:space="preserve"> Suite</w:t>
                </w:r>
                <w:r>
                  <w:t xml:space="preserve"> (1930)</w:t>
                </w:r>
              </w:p>
              <w:p w14:paraId="3622F39C" w14:textId="77777777" w:rsidR="000A346B" w:rsidRDefault="000A346B" w:rsidP="000A346B">
                <w:r>
                  <w:rPr>
                    <w:i/>
                  </w:rPr>
                  <w:t>Pomona</w:t>
                </w:r>
                <w:r>
                  <w:t xml:space="preserve"> (1930)</w:t>
                </w:r>
              </w:p>
              <w:p w14:paraId="75E86AB1" w14:textId="77777777" w:rsidR="000A346B" w:rsidRDefault="000A346B" w:rsidP="000A346B">
                <w:r>
                  <w:rPr>
                    <w:i/>
                  </w:rPr>
                  <w:t xml:space="preserve">La </w:t>
                </w:r>
                <w:proofErr w:type="spellStart"/>
                <w:r>
                  <w:rPr>
                    <w:i/>
                  </w:rPr>
                  <w:t>Péri</w:t>
                </w:r>
                <w:proofErr w:type="spellEnd"/>
                <w:r>
                  <w:t xml:space="preserve"> (1931)</w:t>
                </w:r>
              </w:p>
              <w:p w14:paraId="705207AD" w14:textId="77777777" w:rsidR="000A346B" w:rsidRDefault="000A346B" w:rsidP="000A346B">
                <w:r>
                  <w:rPr>
                    <w:i/>
                  </w:rPr>
                  <w:t>Façade</w:t>
                </w:r>
                <w:r>
                  <w:t xml:space="preserve"> (1931)</w:t>
                </w:r>
              </w:p>
              <w:p w14:paraId="15FD6FF6" w14:textId="77777777" w:rsidR="000A346B" w:rsidRDefault="000A346B" w:rsidP="000A346B">
                <w:r>
                  <w:rPr>
                    <w:i/>
                  </w:rPr>
                  <w:t xml:space="preserve">The Lady of </w:t>
                </w:r>
                <w:proofErr w:type="spellStart"/>
                <w:r>
                  <w:rPr>
                    <w:i/>
                  </w:rPr>
                  <w:t>Shalott</w:t>
                </w:r>
                <w:proofErr w:type="spellEnd"/>
                <w:r>
                  <w:t xml:space="preserve"> (1931)</w:t>
                </w:r>
              </w:p>
              <w:p w14:paraId="36BCEA70" w14:textId="77777777" w:rsidR="000A346B" w:rsidRDefault="000A346B" w:rsidP="000A346B">
                <w:r>
                  <w:rPr>
                    <w:i/>
                  </w:rPr>
                  <w:t xml:space="preserve">Foyer de </w:t>
                </w:r>
                <w:proofErr w:type="spellStart"/>
                <w:r>
                  <w:rPr>
                    <w:i/>
                  </w:rPr>
                  <w:t>Danse</w:t>
                </w:r>
                <w:proofErr w:type="spellEnd"/>
                <w:r>
                  <w:t xml:space="preserve"> (1932)</w:t>
                </w:r>
              </w:p>
              <w:p w14:paraId="087A9BC3" w14:textId="77777777" w:rsidR="000A346B" w:rsidRDefault="000A346B" w:rsidP="000A346B">
                <w:r>
                  <w:rPr>
                    <w:i/>
                  </w:rPr>
                  <w:t>Les Rendezvous</w:t>
                </w:r>
                <w:r>
                  <w:t xml:space="preserve"> (1933)</w:t>
                </w:r>
              </w:p>
              <w:p w14:paraId="62B64FD8" w14:textId="77777777" w:rsidR="000A346B" w:rsidRDefault="000A346B" w:rsidP="000A346B">
                <w:proofErr w:type="spellStart"/>
                <w:r>
                  <w:rPr>
                    <w:i/>
                  </w:rPr>
                  <w:t>Pavane</w:t>
                </w:r>
                <w:proofErr w:type="spellEnd"/>
                <w:r>
                  <w:rPr>
                    <w:i/>
                  </w:rPr>
                  <w:t xml:space="preserve"> pour </w:t>
                </w:r>
                <w:proofErr w:type="spellStart"/>
                <w:r>
                  <w:rPr>
                    <w:i/>
                  </w:rPr>
                  <w:t>une</w:t>
                </w:r>
                <w:proofErr w:type="spellEnd"/>
                <w:r>
                  <w:rPr>
                    <w:i/>
                  </w:rPr>
                  <w:t xml:space="preserve"> </w:t>
                </w:r>
                <w:proofErr w:type="spellStart"/>
                <w:r>
                  <w:rPr>
                    <w:i/>
                  </w:rPr>
                  <w:t>enfante</w:t>
                </w:r>
                <w:proofErr w:type="spellEnd"/>
                <w:r>
                  <w:rPr>
                    <w:i/>
                  </w:rPr>
                  <w:t xml:space="preserve"> </w:t>
                </w:r>
                <w:proofErr w:type="spellStart"/>
                <w:r>
                  <w:rPr>
                    <w:i/>
                  </w:rPr>
                  <w:t>défunte</w:t>
                </w:r>
                <w:proofErr w:type="spellEnd"/>
                <w:r>
                  <w:t xml:space="preserve">  (1933)</w:t>
                </w:r>
              </w:p>
              <w:p w14:paraId="072200AB" w14:textId="77777777" w:rsidR="000A346B" w:rsidRDefault="000A346B" w:rsidP="000A346B">
                <w:proofErr w:type="spellStart"/>
                <w:r>
                  <w:rPr>
                    <w:i/>
                  </w:rPr>
                  <w:t>Mephisto</w:t>
                </w:r>
                <w:proofErr w:type="spellEnd"/>
                <w:r>
                  <w:rPr>
                    <w:i/>
                  </w:rPr>
                  <w:t xml:space="preserve"> </w:t>
                </w:r>
                <w:proofErr w:type="spellStart"/>
                <w:r>
                  <w:rPr>
                    <w:i/>
                  </w:rPr>
                  <w:t>Valse</w:t>
                </w:r>
                <w:proofErr w:type="spellEnd"/>
                <w:r>
                  <w:t xml:space="preserve"> (1934)</w:t>
                </w:r>
              </w:p>
              <w:p w14:paraId="3E804283" w14:textId="77777777" w:rsidR="000A346B" w:rsidRDefault="000A346B" w:rsidP="000A346B">
                <w:r>
                  <w:rPr>
                    <w:i/>
                  </w:rPr>
                  <w:t xml:space="preserve">Le </w:t>
                </w:r>
                <w:proofErr w:type="spellStart"/>
                <w:r>
                  <w:rPr>
                    <w:i/>
                  </w:rPr>
                  <w:t>Baiser</w:t>
                </w:r>
                <w:proofErr w:type="spellEnd"/>
                <w:r>
                  <w:rPr>
                    <w:i/>
                  </w:rPr>
                  <w:t xml:space="preserve"> de la </w:t>
                </w:r>
                <w:proofErr w:type="spellStart"/>
                <w:r>
                  <w:rPr>
                    <w:i/>
                  </w:rPr>
                  <w:t>Fée</w:t>
                </w:r>
                <w:proofErr w:type="spellEnd"/>
                <w:r>
                  <w:t xml:space="preserve"> (1935)</w:t>
                </w:r>
              </w:p>
              <w:p w14:paraId="598483BD" w14:textId="77777777" w:rsidR="000A346B" w:rsidRDefault="000A346B" w:rsidP="000A346B">
                <w:r>
                  <w:rPr>
                    <w:i/>
                  </w:rPr>
                  <w:t>Apparitions</w:t>
                </w:r>
                <w:r>
                  <w:t xml:space="preserve"> (1936)</w:t>
                </w:r>
              </w:p>
              <w:p w14:paraId="4BBED5EE" w14:textId="77777777" w:rsidR="000A346B" w:rsidRDefault="000A346B" w:rsidP="000A346B">
                <w:r>
                  <w:rPr>
                    <w:i/>
                  </w:rPr>
                  <w:t>Nocturne</w:t>
                </w:r>
                <w:r>
                  <w:t xml:space="preserve"> (1936)</w:t>
                </w:r>
              </w:p>
              <w:p w14:paraId="7321F75B" w14:textId="77777777" w:rsidR="000A346B" w:rsidRDefault="000A346B" w:rsidP="000A346B">
                <w:r>
                  <w:rPr>
                    <w:i/>
                  </w:rPr>
                  <w:t xml:space="preserve">Les </w:t>
                </w:r>
                <w:proofErr w:type="spellStart"/>
                <w:r>
                  <w:rPr>
                    <w:i/>
                  </w:rPr>
                  <w:t>Patineurs</w:t>
                </w:r>
                <w:proofErr w:type="spellEnd"/>
                <w:r>
                  <w:t xml:space="preserve"> (</w:t>
                </w:r>
                <w:proofErr w:type="gramStart"/>
                <w:r>
                  <w:t>1937 )</w:t>
                </w:r>
                <w:proofErr w:type="gramEnd"/>
              </w:p>
              <w:p w14:paraId="791B4D79" w14:textId="77777777" w:rsidR="000A346B" w:rsidRDefault="000A346B" w:rsidP="000A346B">
                <w:r>
                  <w:rPr>
                    <w:i/>
                  </w:rPr>
                  <w:t>A Wedding Bouquet</w:t>
                </w:r>
                <w:r>
                  <w:t xml:space="preserve">  (1937)</w:t>
                </w:r>
              </w:p>
              <w:p w14:paraId="27781F0F" w14:textId="77777777" w:rsidR="000A346B" w:rsidRDefault="000A346B" w:rsidP="000A346B">
                <w:r>
                  <w:rPr>
                    <w:i/>
                  </w:rPr>
                  <w:t>Horoscope</w:t>
                </w:r>
                <w:r>
                  <w:t xml:space="preserve"> (1938)</w:t>
                </w:r>
              </w:p>
              <w:p w14:paraId="464C3EEB" w14:textId="77777777" w:rsidR="000A346B" w:rsidRDefault="000A346B" w:rsidP="000A346B">
                <w:r>
                  <w:rPr>
                    <w:i/>
                  </w:rPr>
                  <w:t>The Judgement of Paris</w:t>
                </w:r>
                <w:r>
                  <w:t xml:space="preserve"> (1938)</w:t>
                </w:r>
              </w:p>
              <w:p w14:paraId="7616873F" w14:textId="77777777" w:rsidR="000A346B" w:rsidRDefault="000A346B" w:rsidP="000A346B">
                <w:r>
                  <w:rPr>
                    <w:i/>
                  </w:rPr>
                  <w:t>Cupid and Psyche</w:t>
                </w:r>
                <w:r>
                  <w:t xml:space="preserve"> (1939)</w:t>
                </w:r>
              </w:p>
              <w:p w14:paraId="594F7FD6" w14:textId="77777777" w:rsidR="000A346B" w:rsidRDefault="000A346B" w:rsidP="000A346B">
                <w:r>
                  <w:rPr>
                    <w:i/>
                  </w:rPr>
                  <w:t>Dante Sonata</w:t>
                </w:r>
                <w:r>
                  <w:t xml:space="preserve"> (1940)</w:t>
                </w:r>
              </w:p>
              <w:p w14:paraId="59E809A2" w14:textId="77777777" w:rsidR="000A346B" w:rsidRDefault="000A346B" w:rsidP="000A346B">
                <w:r>
                  <w:rPr>
                    <w:i/>
                  </w:rPr>
                  <w:lastRenderedPageBreak/>
                  <w:t>The Wise Virgins</w:t>
                </w:r>
                <w:r>
                  <w:t xml:space="preserve"> (1940)</w:t>
                </w:r>
              </w:p>
              <w:p w14:paraId="35C68456" w14:textId="77777777" w:rsidR="000A346B" w:rsidRDefault="000A346B" w:rsidP="000A346B">
                <w:r>
                  <w:rPr>
                    <w:i/>
                  </w:rPr>
                  <w:t>The Wanderer</w:t>
                </w:r>
                <w:r>
                  <w:t xml:space="preserve"> (1941)</w:t>
                </w:r>
              </w:p>
              <w:p w14:paraId="1BCFB415" w14:textId="77777777" w:rsidR="000A346B" w:rsidRDefault="000A346B" w:rsidP="000A346B">
                <w:r>
                  <w:rPr>
                    <w:i/>
                  </w:rPr>
                  <w:t>The Quest</w:t>
                </w:r>
                <w:r>
                  <w:t xml:space="preserve"> (1943)</w:t>
                </w:r>
              </w:p>
              <w:p w14:paraId="0A3C3F22" w14:textId="77777777" w:rsidR="000A346B" w:rsidRDefault="000A346B" w:rsidP="000A346B">
                <w:r>
                  <w:rPr>
                    <w:i/>
                  </w:rPr>
                  <w:t>Symphonic Variations</w:t>
                </w:r>
                <w:r>
                  <w:t xml:space="preserve"> (1946)</w:t>
                </w:r>
              </w:p>
              <w:p w14:paraId="444EA2FD" w14:textId="77777777" w:rsidR="000A346B" w:rsidRDefault="000A346B" w:rsidP="000A346B">
                <w:r>
                  <w:rPr>
                    <w:i/>
                  </w:rPr>
                  <w:t xml:space="preserve">Les </w:t>
                </w:r>
                <w:proofErr w:type="spellStart"/>
                <w:r>
                  <w:rPr>
                    <w:i/>
                  </w:rPr>
                  <w:t>Sirènes</w:t>
                </w:r>
                <w:proofErr w:type="spellEnd"/>
                <w:r>
                  <w:t xml:space="preserve"> (1946)</w:t>
                </w:r>
              </w:p>
              <w:p w14:paraId="17CFA120" w14:textId="77777777" w:rsidR="000A346B" w:rsidRDefault="000A346B" w:rsidP="000A346B">
                <w:r>
                  <w:rPr>
                    <w:i/>
                  </w:rPr>
                  <w:t>The Fairy-Queen</w:t>
                </w:r>
                <w:r>
                  <w:t xml:space="preserve"> (1946)</w:t>
                </w:r>
              </w:p>
              <w:p w14:paraId="1364FA9B" w14:textId="77777777" w:rsidR="000A346B" w:rsidRDefault="000A346B" w:rsidP="000A346B">
                <w:proofErr w:type="spellStart"/>
                <w:r>
                  <w:rPr>
                    <w:i/>
                  </w:rPr>
                  <w:t>Valses</w:t>
                </w:r>
                <w:proofErr w:type="spellEnd"/>
                <w:r>
                  <w:rPr>
                    <w:i/>
                  </w:rPr>
                  <w:t xml:space="preserve"> nobles et </w:t>
                </w:r>
                <w:proofErr w:type="spellStart"/>
                <w:r>
                  <w:rPr>
                    <w:i/>
                  </w:rPr>
                  <w:t>sentimentales</w:t>
                </w:r>
                <w:proofErr w:type="spellEnd"/>
                <w:r>
                  <w:t xml:space="preserve"> (1947)</w:t>
                </w:r>
              </w:p>
              <w:p w14:paraId="539EDBBD" w14:textId="77777777" w:rsidR="000A346B" w:rsidRDefault="000A346B" w:rsidP="000A346B">
                <w:pPr>
                  <w:widowControl w:val="0"/>
                </w:pPr>
                <w:proofErr w:type="spellStart"/>
                <w:r>
                  <w:rPr>
                    <w:i/>
                  </w:rPr>
                  <w:t>Scènes</w:t>
                </w:r>
                <w:proofErr w:type="spellEnd"/>
                <w:r>
                  <w:rPr>
                    <w:i/>
                  </w:rPr>
                  <w:t xml:space="preserve"> de ballet</w:t>
                </w:r>
                <w:r>
                  <w:t xml:space="preserve"> (1948)</w:t>
                </w:r>
              </w:p>
              <w:p w14:paraId="1060BD3A" w14:textId="77777777" w:rsidR="000A346B" w:rsidRDefault="000A346B" w:rsidP="000A346B">
                <w:pPr>
                  <w:widowControl w:val="0"/>
                </w:pPr>
                <w:r>
                  <w:rPr>
                    <w:i/>
                  </w:rPr>
                  <w:t>Don Juan</w:t>
                </w:r>
                <w:r>
                  <w:t xml:space="preserve">  (1948)</w:t>
                </w:r>
              </w:p>
              <w:p w14:paraId="6A480C32" w14:textId="77777777" w:rsidR="000A346B" w:rsidRDefault="000A346B" w:rsidP="000A346B">
                <w:pPr>
                  <w:widowControl w:val="0"/>
                </w:pPr>
                <w:r>
                  <w:rPr>
                    <w:i/>
                  </w:rPr>
                  <w:t>Cinderella</w:t>
                </w:r>
                <w:r>
                  <w:t xml:space="preserve"> (1948)</w:t>
                </w:r>
              </w:p>
              <w:p w14:paraId="6908C7DB" w14:textId="77777777" w:rsidR="000A346B" w:rsidRDefault="000A346B" w:rsidP="000A346B">
                <w:pPr>
                  <w:widowControl w:val="0"/>
                </w:pPr>
                <w:r>
                  <w:rPr>
                    <w:i/>
                  </w:rPr>
                  <w:t xml:space="preserve">Le </w:t>
                </w:r>
                <w:proofErr w:type="spellStart"/>
                <w:r>
                  <w:rPr>
                    <w:i/>
                  </w:rPr>
                  <w:t>Rêve</w:t>
                </w:r>
                <w:proofErr w:type="spellEnd"/>
                <w:r>
                  <w:rPr>
                    <w:i/>
                  </w:rPr>
                  <w:t xml:space="preserve"> de </w:t>
                </w:r>
                <w:proofErr w:type="spellStart"/>
                <w:r>
                  <w:rPr>
                    <w:i/>
                  </w:rPr>
                  <w:t>Léonor</w:t>
                </w:r>
                <w:proofErr w:type="spellEnd"/>
                <w:r>
                  <w:t xml:space="preserve"> (1949)</w:t>
                </w:r>
              </w:p>
              <w:p w14:paraId="10E819C4" w14:textId="77777777" w:rsidR="000A346B" w:rsidRDefault="000A346B" w:rsidP="000A346B">
                <w:pPr>
                  <w:widowControl w:val="0"/>
                </w:pPr>
                <w:r>
                  <w:rPr>
                    <w:i/>
                  </w:rPr>
                  <w:t>Illuminations</w:t>
                </w:r>
                <w:r>
                  <w:t xml:space="preserve"> (1950)</w:t>
                </w:r>
              </w:p>
              <w:p w14:paraId="33313BB0" w14:textId="77777777" w:rsidR="000A346B" w:rsidRDefault="000A346B" w:rsidP="000A346B">
                <w:pPr>
                  <w:widowControl w:val="0"/>
                </w:pPr>
                <w:r>
                  <w:rPr>
                    <w:i/>
                  </w:rPr>
                  <w:t xml:space="preserve">Daphnis et </w:t>
                </w:r>
                <w:proofErr w:type="spellStart"/>
                <w:r>
                  <w:rPr>
                    <w:i/>
                  </w:rPr>
                  <w:t>Chloé</w:t>
                </w:r>
                <w:proofErr w:type="spellEnd"/>
                <w:r>
                  <w:t xml:space="preserve"> (1951)</w:t>
                </w:r>
              </w:p>
              <w:p w14:paraId="02CB8D5B" w14:textId="77777777" w:rsidR="000A346B" w:rsidRDefault="000A346B" w:rsidP="000A346B">
                <w:pPr>
                  <w:widowControl w:val="0"/>
                </w:pPr>
                <w:r>
                  <w:rPr>
                    <w:i/>
                  </w:rPr>
                  <w:t>Tiresias</w:t>
                </w:r>
                <w:r>
                  <w:t xml:space="preserve"> (1951)</w:t>
                </w:r>
              </w:p>
              <w:p w14:paraId="55FA9B4C" w14:textId="77777777" w:rsidR="000A346B" w:rsidRDefault="000A346B" w:rsidP="000A346B">
                <w:pPr>
                  <w:widowControl w:val="0"/>
                </w:pPr>
                <w:r>
                  <w:rPr>
                    <w:i/>
                  </w:rPr>
                  <w:t>Sylvia</w:t>
                </w:r>
                <w:r>
                  <w:t xml:space="preserve"> (1952)</w:t>
                </w:r>
              </w:p>
              <w:p w14:paraId="0A249825" w14:textId="77777777" w:rsidR="000A346B" w:rsidRDefault="000A346B" w:rsidP="000A346B">
                <w:pPr>
                  <w:widowControl w:val="0"/>
                </w:pPr>
                <w:r>
                  <w:rPr>
                    <w:i/>
                  </w:rPr>
                  <w:t>Picnic at Tintagel</w:t>
                </w:r>
                <w:r>
                  <w:t xml:space="preserve"> (1952)</w:t>
                </w:r>
              </w:p>
              <w:p w14:paraId="38ED6C47" w14:textId="77777777" w:rsidR="000A346B" w:rsidRDefault="000A346B" w:rsidP="000A346B">
                <w:pPr>
                  <w:widowControl w:val="0"/>
                </w:pPr>
                <w:r>
                  <w:rPr>
                    <w:i/>
                  </w:rPr>
                  <w:t>Romeo and Juliet</w:t>
                </w:r>
                <w:r>
                  <w:t xml:space="preserve">  (1955)</w:t>
                </w:r>
              </w:p>
              <w:p w14:paraId="075FB969" w14:textId="77777777" w:rsidR="000A346B" w:rsidRDefault="000A346B" w:rsidP="000A346B">
                <w:pPr>
                  <w:widowControl w:val="0"/>
                </w:pPr>
                <w:proofErr w:type="spellStart"/>
                <w:r>
                  <w:rPr>
                    <w:i/>
                  </w:rPr>
                  <w:t>Rinaldo</w:t>
                </w:r>
                <w:proofErr w:type="spellEnd"/>
                <w:r>
                  <w:rPr>
                    <w:i/>
                  </w:rPr>
                  <w:t xml:space="preserve"> and </w:t>
                </w:r>
                <w:proofErr w:type="spellStart"/>
                <w:r>
                  <w:rPr>
                    <w:i/>
                  </w:rPr>
                  <w:t>Armida</w:t>
                </w:r>
                <w:proofErr w:type="spellEnd"/>
                <w:r>
                  <w:t xml:space="preserve"> (1955)</w:t>
                </w:r>
              </w:p>
              <w:p w14:paraId="7E58ADE8" w14:textId="77777777" w:rsidR="000A346B" w:rsidRDefault="000A346B" w:rsidP="000A346B">
                <w:pPr>
                  <w:widowControl w:val="0"/>
                </w:pPr>
                <w:r>
                  <w:rPr>
                    <w:i/>
                  </w:rPr>
                  <w:t xml:space="preserve">La </w:t>
                </w:r>
                <w:proofErr w:type="spellStart"/>
                <w:r>
                  <w:rPr>
                    <w:i/>
                  </w:rPr>
                  <w:t>Péri</w:t>
                </w:r>
                <w:proofErr w:type="spellEnd"/>
                <w:r>
                  <w:t xml:space="preserve"> (1956)</w:t>
                </w:r>
              </w:p>
              <w:p w14:paraId="2B14A966" w14:textId="77777777" w:rsidR="000A346B" w:rsidRDefault="000A346B" w:rsidP="000A346B">
                <w:pPr>
                  <w:widowControl w:val="0"/>
                </w:pPr>
                <w:r>
                  <w:rPr>
                    <w:i/>
                  </w:rPr>
                  <w:t>Birthday Offering</w:t>
                </w:r>
                <w:r>
                  <w:t xml:space="preserve"> (1956)</w:t>
                </w:r>
              </w:p>
              <w:p w14:paraId="52B37B4E" w14:textId="77777777" w:rsidR="000A346B" w:rsidRDefault="000A346B" w:rsidP="000A346B">
                <w:pPr>
                  <w:widowControl w:val="0"/>
                </w:pPr>
                <w:proofErr w:type="spellStart"/>
                <w:r>
                  <w:rPr>
                    <w:i/>
                  </w:rPr>
                  <w:t>Ondine</w:t>
                </w:r>
                <w:proofErr w:type="spellEnd"/>
                <w:r>
                  <w:t xml:space="preserve"> (1958)</w:t>
                </w:r>
              </w:p>
              <w:p w14:paraId="4A8E4397" w14:textId="77777777" w:rsidR="000A346B" w:rsidRDefault="000A346B" w:rsidP="000A346B">
                <w:pPr>
                  <w:widowControl w:val="0"/>
                </w:pPr>
                <w:r>
                  <w:rPr>
                    <w:i/>
                  </w:rPr>
                  <w:t xml:space="preserve">La </w:t>
                </w:r>
                <w:proofErr w:type="spellStart"/>
                <w:r>
                  <w:rPr>
                    <w:i/>
                  </w:rPr>
                  <w:t>Valse</w:t>
                </w:r>
                <w:proofErr w:type="spellEnd"/>
                <w:r>
                  <w:t xml:space="preserve"> (1958)</w:t>
                </w:r>
              </w:p>
              <w:p w14:paraId="4EC3D30B" w14:textId="77777777" w:rsidR="000A346B" w:rsidRDefault="000A346B" w:rsidP="000A346B">
                <w:pPr>
                  <w:widowControl w:val="0"/>
                </w:pPr>
                <w:r>
                  <w:rPr>
                    <w:i/>
                  </w:rPr>
                  <w:t xml:space="preserve">La </w:t>
                </w:r>
                <w:proofErr w:type="spellStart"/>
                <w:r>
                  <w:rPr>
                    <w:i/>
                  </w:rPr>
                  <w:t>Fille</w:t>
                </w:r>
                <w:proofErr w:type="spellEnd"/>
                <w:r>
                  <w:rPr>
                    <w:i/>
                  </w:rPr>
                  <w:t xml:space="preserve"> Mal </w:t>
                </w:r>
                <w:proofErr w:type="spellStart"/>
                <w:r>
                  <w:rPr>
                    <w:i/>
                  </w:rPr>
                  <w:t>Gardée</w:t>
                </w:r>
                <w:proofErr w:type="spellEnd"/>
                <w:r>
                  <w:t xml:space="preserve"> (1960)</w:t>
                </w:r>
              </w:p>
              <w:p w14:paraId="49842902" w14:textId="77777777" w:rsidR="000A346B" w:rsidRDefault="000A346B" w:rsidP="000A346B">
                <w:pPr>
                  <w:widowControl w:val="0"/>
                </w:pPr>
                <w:r>
                  <w:rPr>
                    <w:i/>
                  </w:rPr>
                  <w:t>Persephone</w:t>
                </w:r>
                <w:r>
                  <w:t xml:space="preserve"> (1961)</w:t>
                </w:r>
              </w:p>
              <w:p w14:paraId="6E260DA9" w14:textId="77777777" w:rsidR="000A346B" w:rsidRDefault="000A346B" w:rsidP="000A346B">
                <w:pPr>
                  <w:widowControl w:val="0"/>
                </w:pPr>
                <w:r>
                  <w:rPr>
                    <w:i/>
                  </w:rPr>
                  <w:t>The Two Pigeons</w:t>
                </w:r>
                <w:r>
                  <w:t xml:space="preserve"> (1961)</w:t>
                </w:r>
              </w:p>
              <w:p w14:paraId="44E707BA" w14:textId="77777777" w:rsidR="000A346B" w:rsidRDefault="000A346B" w:rsidP="000A346B">
                <w:pPr>
                  <w:widowControl w:val="0"/>
                </w:pPr>
                <w:r>
                  <w:rPr>
                    <w:i/>
                  </w:rPr>
                  <w:t>Marguerite et Armand</w:t>
                </w:r>
                <w:r>
                  <w:t xml:space="preserve"> (1963)</w:t>
                </w:r>
              </w:p>
              <w:p w14:paraId="6E2043CF" w14:textId="77777777" w:rsidR="000A346B" w:rsidRDefault="000A346B" w:rsidP="000A346B">
                <w:pPr>
                  <w:widowControl w:val="0"/>
                </w:pPr>
                <w:r>
                  <w:rPr>
                    <w:i/>
                  </w:rPr>
                  <w:t>The Dream</w:t>
                </w:r>
                <w:r>
                  <w:t xml:space="preserve"> (1964)</w:t>
                </w:r>
              </w:p>
              <w:p w14:paraId="66D642D9" w14:textId="77777777" w:rsidR="000A346B" w:rsidRDefault="000A346B" w:rsidP="000A346B">
                <w:pPr>
                  <w:widowControl w:val="0"/>
                </w:pPr>
                <w:r>
                  <w:rPr>
                    <w:i/>
                  </w:rPr>
                  <w:t>Monotones</w:t>
                </w:r>
                <w:r>
                  <w:t xml:space="preserve"> (1965)</w:t>
                </w:r>
              </w:p>
              <w:p w14:paraId="44CF7957" w14:textId="77777777" w:rsidR="000A346B" w:rsidRDefault="000A346B" w:rsidP="000A346B">
                <w:pPr>
                  <w:widowControl w:val="0"/>
                </w:pPr>
                <w:r>
                  <w:rPr>
                    <w:i/>
                  </w:rPr>
                  <w:t>Jazz Calendar</w:t>
                </w:r>
                <w:r>
                  <w:t xml:space="preserve"> (1968)</w:t>
                </w:r>
              </w:p>
              <w:p w14:paraId="666ED7C5" w14:textId="77777777" w:rsidR="000A346B" w:rsidRDefault="000A346B" w:rsidP="000A346B">
                <w:pPr>
                  <w:widowControl w:val="0"/>
                </w:pPr>
                <w:r>
                  <w:rPr>
                    <w:i/>
                  </w:rPr>
                  <w:t>Enigma Variations</w:t>
                </w:r>
                <w:r>
                  <w:t xml:space="preserve"> (1968)</w:t>
                </w:r>
              </w:p>
              <w:p w14:paraId="45588040" w14:textId="77777777" w:rsidR="000A346B" w:rsidRDefault="000A346B" w:rsidP="000A346B">
                <w:pPr>
                  <w:widowControl w:val="0"/>
                </w:pPr>
                <w:r>
                  <w:rPr>
                    <w:i/>
                  </w:rPr>
                  <w:t xml:space="preserve">Die </w:t>
                </w:r>
                <w:proofErr w:type="spellStart"/>
                <w:r>
                  <w:rPr>
                    <w:i/>
                  </w:rPr>
                  <w:t>Geschöpfe</w:t>
                </w:r>
                <w:proofErr w:type="spellEnd"/>
                <w:r>
                  <w:rPr>
                    <w:i/>
                  </w:rPr>
                  <w:t xml:space="preserve"> des Prometheus</w:t>
                </w:r>
                <w:r>
                  <w:t xml:space="preserve"> [</w:t>
                </w:r>
                <w:r>
                  <w:rPr>
                    <w:i/>
                  </w:rPr>
                  <w:t>The Creatures of Prometheus</w:t>
                </w:r>
                <w:r>
                  <w:t>] (1970)</w:t>
                </w:r>
              </w:p>
              <w:p w14:paraId="6F3CEF5D" w14:textId="77777777" w:rsidR="000A346B" w:rsidRDefault="000A346B" w:rsidP="000A346B">
                <w:pPr>
                  <w:widowControl w:val="0"/>
                </w:pPr>
                <w:r>
                  <w:rPr>
                    <w:i/>
                  </w:rPr>
                  <w:t>Lament of the Waves</w:t>
                </w:r>
                <w:r>
                  <w:t xml:space="preserve"> (1970)</w:t>
                </w:r>
              </w:p>
              <w:p w14:paraId="0FB7B401" w14:textId="77777777" w:rsidR="000A346B" w:rsidRDefault="000A346B" w:rsidP="000A346B">
                <w:pPr>
                  <w:widowControl w:val="0"/>
                </w:pPr>
                <w:r>
                  <w:rPr>
                    <w:i/>
                  </w:rPr>
                  <w:t>The Walk to the Paradise Garden</w:t>
                </w:r>
                <w:r>
                  <w:t xml:space="preserve"> (1972)</w:t>
                </w:r>
              </w:p>
              <w:p w14:paraId="15814F86" w14:textId="77777777" w:rsidR="000A346B" w:rsidRDefault="000A346B" w:rsidP="000A346B">
                <w:pPr>
                  <w:widowControl w:val="0"/>
                </w:pPr>
                <w:r>
                  <w:rPr>
                    <w:i/>
                  </w:rPr>
                  <w:t>Five Brahms Waltzes</w:t>
                </w:r>
                <w:r>
                  <w:t xml:space="preserve"> (1975)</w:t>
                </w:r>
              </w:p>
              <w:p w14:paraId="1CD49442" w14:textId="77777777" w:rsidR="000A346B" w:rsidRDefault="000A346B" w:rsidP="000A346B">
                <w:pPr>
                  <w:widowControl w:val="0"/>
                </w:pPr>
                <w:r>
                  <w:rPr>
                    <w:i/>
                  </w:rPr>
                  <w:t>A Month in the Country</w:t>
                </w:r>
                <w:r>
                  <w:t xml:space="preserve"> (1976)</w:t>
                </w:r>
              </w:p>
              <w:p w14:paraId="0A4450D3" w14:textId="77777777" w:rsidR="003F0D73" w:rsidRDefault="003F0D73" w:rsidP="00C27FAB"/>
            </w:tc>
          </w:sdtContent>
        </w:sdt>
      </w:tr>
      <w:tr w:rsidR="003235A7" w14:paraId="2FD8A780" w14:textId="77777777" w:rsidTr="003235A7">
        <w:tc>
          <w:tcPr>
            <w:tcW w:w="9016" w:type="dxa"/>
          </w:tcPr>
          <w:p w14:paraId="3CAE61CD" w14:textId="28F7E69D" w:rsidR="003235A7" w:rsidRDefault="003235A7" w:rsidP="008A5B87">
            <w:r w:rsidRPr="0015114C">
              <w:rPr>
                <w:u w:val="single"/>
              </w:rPr>
              <w:lastRenderedPageBreak/>
              <w:t>Further reading</w:t>
            </w:r>
            <w:r>
              <w:t>:</w:t>
            </w:r>
          </w:p>
          <w:p w14:paraId="2AD15289" w14:textId="77777777" w:rsidR="000A346B" w:rsidRDefault="000A346B" w:rsidP="008A5B87"/>
          <w:sdt>
            <w:sdtPr>
              <w:alias w:val="Further reading"/>
              <w:tag w:val="furtherReading"/>
              <w:id w:val="-1516217107"/>
              <w:placeholder>
                <w:docPart w:val="6CDD4637283E4540A557DE34C2AC5DDF"/>
              </w:placeholder>
            </w:sdtPr>
            <w:sdtContent>
              <w:p w14:paraId="3B582C82" w14:textId="77777777" w:rsidR="000A346B" w:rsidRDefault="000A346B" w:rsidP="000A346B">
                <w:sdt>
                  <w:sdtPr>
                    <w:id w:val="466488302"/>
                    <w:citation/>
                  </w:sdtPr>
                  <w:sdtContent>
                    <w:r>
                      <w:fldChar w:fldCharType="begin"/>
                    </w:r>
                    <w:r>
                      <w:rPr>
                        <w:lang w:val="en-US"/>
                      </w:rPr>
                      <w:instrText xml:space="preserve"> CITATION Gar11 \l 1033 </w:instrText>
                    </w:r>
                    <w:r>
                      <w:fldChar w:fldCharType="separate"/>
                    </w:r>
                    <w:r>
                      <w:rPr>
                        <w:noProof/>
                        <w:lang w:val="en-US"/>
                      </w:rPr>
                      <w:t xml:space="preserve"> (Garafola)</w:t>
                    </w:r>
                    <w:r>
                      <w:fldChar w:fldCharType="end"/>
                    </w:r>
                  </w:sdtContent>
                </w:sdt>
              </w:p>
              <w:p w14:paraId="46F1ED0C" w14:textId="77777777" w:rsidR="000A346B" w:rsidRDefault="000A346B" w:rsidP="000A346B"/>
              <w:p w14:paraId="4939B704" w14:textId="4C820D1D" w:rsidR="000A346B" w:rsidRDefault="000A346B" w:rsidP="000A346B">
                <w:sdt>
                  <w:sdtPr>
                    <w:id w:val="2025434560"/>
                    <w:citation/>
                  </w:sdtPr>
                  <w:sdtContent>
                    <w:r>
                      <w:fldChar w:fldCharType="begin"/>
                    </w:r>
                    <w:r>
                      <w:rPr>
                        <w:lang w:val="en-US"/>
                      </w:rPr>
                      <w:instrText xml:space="preserve">CITATION Dan96 \l 1033 </w:instrText>
                    </w:r>
                    <w:r>
                      <w:fldChar w:fldCharType="separate"/>
                    </w:r>
                    <w:r>
                      <w:rPr>
                        <w:noProof/>
                        <w:lang w:val="en-US"/>
                      </w:rPr>
                      <w:t>(Dance Books)</w:t>
                    </w:r>
                    <w:r>
                      <w:fldChar w:fldCharType="end"/>
                    </w:r>
                  </w:sdtContent>
                </w:sdt>
                <w:bookmarkStart w:id="1" w:name="_GoBack"/>
                <w:bookmarkEnd w:id="1"/>
              </w:p>
              <w:p w14:paraId="13896D20" w14:textId="77777777" w:rsidR="000A346B" w:rsidRDefault="000A346B" w:rsidP="000A346B"/>
              <w:p w14:paraId="23407C62" w14:textId="77777777" w:rsidR="000A346B" w:rsidRDefault="000A346B" w:rsidP="000A346B">
                <w:sdt>
                  <w:sdtPr>
                    <w:id w:val="-251198231"/>
                    <w:citation/>
                  </w:sdtPr>
                  <w:sdtContent>
                    <w:r>
                      <w:fldChar w:fldCharType="begin"/>
                    </w:r>
                    <w:r>
                      <w:rPr>
                        <w:lang w:val="en-US"/>
                      </w:rPr>
                      <w:instrText xml:space="preserve"> CITATION Jor07 \l 1033 </w:instrText>
                    </w:r>
                    <w:r>
                      <w:fldChar w:fldCharType="separate"/>
                    </w:r>
                    <w:r>
                      <w:rPr>
                        <w:noProof/>
                        <w:lang w:val="en-US"/>
                      </w:rPr>
                      <w:t>(Jordan)</w:t>
                    </w:r>
                    <w:r>
                      <w:fldChar w:fldCharType="end"/>
                    </w:r>
                  </w:sdtContent>
                </w:sdt>
              </w:p>
              <w:p w14:paraId="52078241" w14:textId="77777777" w:rsidR="000A346B" w:rsidRDefault="000A346B" w:rsidP="000A346B"/>
              <w:p w14:paraId="12791C28" w14:textId="77777777" w:rsidR="001C4105" w:rsidRDefault="001C4105" w:rsidP="000A346B">
                <w:sdt>
                  <w:sdtPr>
                    <w:id w:val="-1181194627"/>
                    <w:citation/>
                  </w:sdtPr>
                  <w:sdtContent>
                    <w:r>
                      <w:fldChar w:fldCharType="begin"/>
                    </w:r>
                    <w:r>
                      <w:rPr>
                        <w:lang w:val="en-US"/>
                      </w:rPr>
                      <w:instrText xml:space="preserve"> CITATION Kav96 \l 1033 </w:instrText>
                    </w:r>
                    <w:r>
                      <w:fldChar w:fldCharType="separate"/>
                    </w:r>
                    <w:r>
                      <w:rPr>
                        <w:noProof/>
                        <w:lang w:val="en-US"/>
                      </w:rPr>
                      <w:t>(Kavanagh)</w:t>
                    </w:r>
                    <w:r>
                      <w:fldChar w:fldCharType="end"/>
                    </w:r>
                  </w:sdtContent>
                </w:sdt>
              </w:p>
              <w:p w14:paraId="088AA76F" w14:textId="77777777" w:rsidR="001C4105" w:rsidRDefault="001C4105" w:rsidP="000A346B"/>
              <w:p w14:paraId="4D5F6411" w14:textId="77777777" w:rsidR="001C4105" w:rsidRDefault="001C4105" w:rsidP="000A346B">
                <w:sdt>
                  <w:sdtPr>
                    <w:id w:val="-2004339902"/>
                    <w:citation/>
                  </w:sdtPr>
                  <w:sdtContent>
                    <w:r>
                      <w:fldChar w:fldCharType="begin"/>
                    </w:r>
                    <w:r>
                      <w:rPr>
                        <w:lang w:val="en-US"/>
                      </w:rPr>
                      <w:instrText xml:space="preserve"> CITATION Mac87 \l 1033 </w:instrText>
                    </w:r>
                    <w:r>
                      <w:fldChar w:fldCharType="separate"/>
                    </w:r>
                    <w:r>
                      <w:rPr>
                        <w:noProof/>
                        <w:lang w:val="en-US"/>
                      </w:rPr>
                      <w:t>(Macaulay)</w:t>
                    </w:r>
                    <w:r>
                      <w:fldChar w:fldCharType="end"/>
                    </w:r>
                  </w:sdtContent>
                </w:sdt>
              </w:p>
              <w:p w14:paraId="033DA936" w14:textId="77777777" w:rsidR="001C4105" w:rsidRDefault="001C4105" w:rsidP="000A346B"/>
              <w:p w14:paraId="5F69979A" w14:textId="77777777" w:rsidR="001C4105" w:rsidRDefault="001C4105" w:rsidP="000A346B">
                <w:sdt>
                  <w:sdtPr>
                    <w:id w:val="-1094550409"/>
                    <w:citation/>
                  </w:sdtPr>
                  <w:sdtContent>
                    <w:r>
                      <w:fldChar w:fldCharType="begin"/>
                    </w:r>
                    <w:r>
                      <w:rPr>
                        <w:lang w:val="en-US"/>
                      </w:rPr>
                      <w:instrText xml:space="preserve"> CITATION Mor12 \l 1033 </w:instrText>
                    </w:r>
                    <w:r>
                      <w:fldChar w:fldCharType="separate"/>
                    </w:r>
                    <w:r>
                      <w:rPr>
                        <w:noProof/>
                        <w:lang w:val="en-US"/>
                      </w:rPr>
                      <w:t>(Morris)</w:t>
                    </w:r>
                    <w:r>
                      <w:fldChar w:fldCharType="end"/>
                    </w:r>
                  </w:sdtContent>
                </w:sdt>
              </w:p>
              <w:p w14:paraId="5504CA77" w14:textId="77777777" w:rsidR="001C4105" w:rsidRDefault="001C4105" w:rsidP="000A346B"/>
              <w:p w14:paraId="02EEFCC4" w14:textId="77777777" w:rsidR="001C4105" w:rsidRDefault="001C4105" w:rsidP="000A346B">
                <w:sdt>
                  <w:sdtPr>
                    <w:id w:val="817004458"/>
                    <w:citation/>
                  </w:sdtPr>
                  <w:sdtContent>
                    <w:r>
                      <w:fldChar w:fldCharType="begin"/>
                    </w:r>
                    <w:r>
                      <w:rPr>
                        <w:lang w:val="en-US"/>
                      </w:rPr>
                      <w:instrText xml:space="preserve"> CITATION Vau99 \l 1033 </w:instrText>
                    </w:r>
                    <w:r>
                      <w:fldChar w:fldCharType="separate"/>
                    </w:r>
                    <w:r>
                      <w:rPr>
                        <w:noProof/>
                        <w:lang w:val="en-US"/>
                      </w:rPr>
                      <w:t>(Vaughan)</w:t>
                    </w:r>
                    <w:r>
                      <w:fldChar w:fldCharType="end"/>
                    </w:r>
                  </w:sdtContent>
                </w:sdt>
              </w:p>
              <w:p w14:paraId="7B88D6D6" w14:textId="77777777" w:rsidR="001C4105" w:rsidRDefault="001C4105" w:rsidP="000A346B"/>
              <w:p w14:paraId="4BCD6D3A" w14:textId="77777777" w:rsidR="001C4105" w:rsidRDefault="001C4105" w:rsidP="000A346B">
                <w:sdt>
                  <w:sdtPr>
                    <w:id w:val="-1205412829"/>
                    <w:citation/>
                  </w:sdtPr>
                  <w:sdtContent>
                    <w:r>
                      <w:fldChar w:fldCharType="begin"/>
                    </w:r>
                    <w:r>
                      <w:rPr>
                        <w:lang w:val="en-US"/>
                      </w:rPr>
                      <w:instrText xml:space="preserve"> CITATION Woh96 \l 1033 </w:instrText>
                    </w:r>
                    <w:r>
                      <w:fldChar w:fldCharType="separate"/>
                    </w:r>
                    <w:r>
                      <w:rPr>
                        <w:noProof/>
                        <w:lang w:val="en-US"/>
                      </w:rPr>
                      <w:t>(Wohlfahrt)</w:t>
                    </w:r>
                    <w:r>
                      <w:fldChar w:fldCharType="end"/>
                    </w:r>
                  </w:sdtContent>
                </w:sdt>
              </w:p>
              <w:p w14:paraId="27D79593" w14:textId="77777777" w:rsidR="001C4105" w:rsidRDefault="001C4105" w:rsidP="000A346B"/>
              <w:p w14:paraId="08EAB970" w14:textId="0066AC51" w:rsidR="003235A7" w:rsidRDefault="001C4105" w:rsidP="000A346B">
                <w:sdt>
                  <w:sdtPr>
                    <w:id w:val="-1516683489"/>
                    <w:citation/>
                  </w:sdtPr>
                  <w:sdtContent>
                    <w:r>
                      <w:fldChar w:fldCharType="begin"/>
                    </w:r>
                    <w:r>
                      <w:rPr>
                        <w:lang w:val="en-US"/>
                      </w:rPr>
                      <w:instrText xml:space="preserve"> CITATION Vau991 \l 1033 </w:instrText>
                    </w:r>
                    <w:r>
                      <w:fldChar w:fldCharType="separate"/>
                    </w:r>
                    <w:r>
                      <w:rPr>
                        <w:noProof/>
                        <w:lang w:val="en-US"/>
                      </w:rPr>
                      <w:t>(Vaughan, Celebrating Ashton)</w:t>
                    </w:r>
                    <w:r>
                      <w:fldChar w:fldCharType="end"/>
                    </w:r>
                  </w:sdtContent>
                </w:sdt>
              </w:p>
            </w:sdtContent>
          </w:sdt>
        </w:tc>
      </w:tr>
    </w:tbl>
    <w:p w14:paraId="259E9A9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08T13:46:00Z" w:initials="KJ">
    <w:p w14:paraId="4BEA943D" w14:textId="696965D0" w:rsidR="000A346B" w:rsidRDefault="000A346B">
      <w:pPr>
        <w:pStyle w:val="CommentText"/>
      </w:pPr>
      <w:r>
        <w:rPr>
          <w:rStyle w:val="CommentReference"/>
        </w:rPr>
        <w:annotationRef/>
      </w:r>
      <w:r>
        <w:t xml:space="preserve">Fact check: ‘Tuesday’s Child’ appears to be ‘Monday’s Child’ in my searches online.  Further, is this a character’s name or a title? If the latter, it also needs italicising.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BA16C" w14:textId="77777777" w:rsidR="000A346B" w:rsidRDefault="000A346B" w:rsidP="007A0D55">
      <w:pPr>
        <w:spacing w:after="0" w:line="240" w:lineRule="auto"/>
      </w:pPr>
      <w:r>
        <w:separator/>
      </w:r>
    </w:p>
  </w:endnote>
  <w:endnote w:type="continuationSeparator" w:id="0">
    <w:p w14:paraId="4197D3EB" w14:textId="77777777" w:rsidR="000A346B" w:rsidRDefault="000A34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E4CF4" w14:textId="77777777" w:rsidR="000A346B" w:rsidRDefault="000A346B" w:rsidP="007A0D55">
      <w:pPr>
        <w:spacing w:after="0" w:line="240" w:lineRule="auto"/>
      </w:pPr>
      <w:r>
        <w:separator/>
      </w:r>
    </w:p>
  </w:footnote>
  <w:footnote w:type="continuationSeparator" w:id="0">
    <w:p w14:paraId="32B85163" w14:textId="77777777" w:rsidR="000A346B" w:rsidRDefault="000A346B" w:rsidP="007A0D55">
      <w:pPr>
        <w:spacing w:after="0" w:line="240" w:lineRule="auto"/>
      </w:pPr>
      <w:r>
        <w:continuationSeparator/>
      </w:r>
    </w:p>
  </w:footnote>
  <w:footnote w:id="1">
    <w:p w14:paraId="293B5B46" w14:textId="77777777" w:rsidR="000A346B" w:rsidRDefault="000A346B" w:rsidP="000551B0">
      <w:pPr>
        <w:pStyle w:val="FootnoteText"/>
        <w:widowControl/>
        <w:tabs>
          <w:tab w:val="left" w:pos="0"/>
          <w:tab w:val="left" w:pos="3456"/>
          <w:tab w:val="left" w:pos="3600"/>
          <w:tab w:val="left" w:pos="4320"/>
          <w:tab w:val="left" w:pos="5040"/>
          <w:tab w:val="left" w:pos="5760"/>
          <w:tab w:val="left" w:pos="6480"/>
          <w:tab w:val="left" w:pos="7200"/>
          <w:tab w:val="left" w:pos="7920"/>
        </w:tabs>
      </w:pPr>
      <w:r>
        <w:rPr>
          <w:vertAlign w:val="superscript"/>
        </w:rPr>
        <w:footnoteRef/>
      </w:r>
      <w:r>
        <w:t xml:space="preserve"> </w:t>
      </w:r>
      <w:proofErr w:type="spellStart"/>
      <w:r>
        <w:t>Denby</w:t>
      </w:r>
      <w:proofErr w:type="spellEnd"/>
      <w:r>
        <w:t xml:space="preserve"> Edwin (1986) </w:t>
      </w:r>
      <w:r>
        <w:rPr>
          <w:i/>
        </w:rPr>
        <w:t>Dance Writings</w:t>
      </w:r>
      <w:r>
        <w:t>, London: Dance Books: 426.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EF946" w14:textId="77777777" w:rsidR="000A346B" w:rsidRDefault="000A346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6DB27F" w14:textId="77777777" w:rsidR="000A346B" w:rsidRDefault="000A34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CB"/>
    <w:rsid w:val="00032559"/>
    <w:rsid w:val="00052040"/>
    <w:rsid w:val="000551B0"/>
    <w:rsid w:val="000A346B"/>
    <w:rsid w:val="000B25AE"/>
    <w:rsid w:val="000B55AB"/>
    <w:rsid w:val="000D24DC"/>
    <w:rsid w:val="00101B2E"/>
    <w:rsid w:val="00116FA0"/>
    <w:rsid w:val="0015114C"/>
    <w:rsid w:val="001A21F3"/>
    <w:rsid w:val="001A2537"/>
    <w:rsid w:val="001A6A06"/>
    <w:rsid w:val="001C410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112"/>
    <w:rsid w:val="005F26D7"/>
    <w:rsid w:val="005F5450"/>
    <w:rsid w:val="006D0412"/>
    <w:rsid w:val="007411B9"/>
    <w:rsid w:val="007710EB"/>
    <w:rsid w:val="00780D95"/>
    <w:rsid w:val="00780DC7"/>
    <w:rsid w:val="007813B8"/>
    <w:rsid w:val="007A0D55"/>
    <w:rsid w:val="007B3377"/>
    <w:rsid w:val="007E5F44"/>
    <w:rsid w:val="00821DE3"/>
    <w:rsid w:val="00846CE1"/>
    <w:rsid w:val="008A5B87"/>
    <w:rsid w:val="00922950"/>
    <w:rsid w:val="009A7264"/>
    <w:rsid w:val="009D1606"/>
    <w:rsid w:val="009E18A1"/>
    <w:rsid w:val="009E73D7"/>
    <w:rsid w:val="00A27D2C"/>
    <w:rsid w:val="00A76FD9"/>
    <w:rsid w:val="00AA4A78"/>
    <w:rsid w:val="00AB436D"/>
    <w:rsid w:val="00AD2F24"/>
    <w:rsid w:val="00AD4844"/>
    <w:rsid w:val="00B219AE"/>
    <w:rsid w:val="00B33145"/>
    <w:rsid w:val="00B574C9"/>
    <w:rsid w:val="00B8175A"/>
    <w:rsid w:val="00BC39C9"/>
    <w:rsid w:val="00BE5BF7"/>
    <w:rsid w:val="00BF40E1"/>
    <w:rsid w:val="00C27FAB"/>
    <w:rsid w:val="00C358D4"/>
    <w:rsid w:val="00C6296B"/>
    <w:rsid w:val="00CC586D"/>
    <w:rsid w:val="00CF1542"/>
    <w:rsid w:val="00CF3EC5"/>
    <w:rsid w:val="00D016C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5B84E7BB86CC45B5DE62CB8441BF0D"/>
        <w:category>
          <w:name w:val="General"/>
          <w:gallery w:val="placeholder"/>
        </w:category>
        <w:types>
          <w:type w:val="bbPlcHdr"/>
        </w:types>
        <w:behaviors>
          <w:behavior w:val="content"/>
        </w:behaviors>
        <w:guid w:val="{FC0F8116-6641-E44D-BE38-3E5674073309}"/>
      </w:docPartPr>
      <w:docPartBody>
        <w:p w:rsidR="00000000" w:rsidRDefault="004E117A">
          <w:pPr>
            <w:pStyle w:val="D25B84E7BB86CC45B5DE62CB8441BF0D"/>
          </w:pPr>
          <w:r w:rsidRPr="00CC586D">
            <w:rPr>
              <w:rStyle w:val="PlaceholderText"/>
              <w:b/>
              <w:color w:val="FFFFFF" w:themeColor="background1"/>
            </w:rPr>
            <w:t>[Salutation]</w:t>
          </w:r>
        </w:p>
      </w:docPartBody>
    </w:docPart>
    <w:docPart>
      <w:docPartPr>
        <w:name w:val="2377A396FABED6418127F9F939FE4E52"/>
        <w:category>
          <w:name w:val="General"/>
          <w:gallery w:val="placeholder"/>
        </w:category>
        <w:types>
          <w:type w:val="bbPlcHdr"/>
        </w:types>
        <w:behaviors>
          <w:behavior w:val="content"/>
        </w:behaviors>
        <w:guid w:val="{0785C1DA-DFDD-5047-A3CC-8FFC2041CE4C}"/>
      </w:docPartPr>
      <w:docPartBody>
        <w:p w:rsidR="00000000" w:rsidRDefault="004E117A">
          <w:pPr>
            <w:pStyle w:val="2377A396FABED6418127F9F939FE4E52"/>
          </w:pPr>
          <w:r>
            <w:rPr>
              <w:rStyle w:val="PlaceholderText"/>
            </w:rPr>
            <w:t>[First name]</w:t>
          </w:r>
        </w:p>
      </w:docPartBody>
    </w:docPart>
    <w:docPart>
      <w:docPartPr>
        <w:name w:val="9A908B4F21DC4C47887285EDDA58B541"/>
        <w:category>
          <w:name w:val="General"/>
          <w:gallery w:val="placeholder"/>
        </w:category>
        <w:types>
          <w:type w:val="bbPlcHdr"/>
        </w:types>
        <w:behaviors>
          <w:behavior w:val="content"/>
        </w:behaviors>
        <w:guid w:val="{9B8138A7-26D6-B446-A04B-3A5C4ECECDD7}"/>
      </w:docPartPr>
      <w:docPartBody>
        <w:p w:rsidR="00000000" w:rsidRDefault="004E117A">
          <w:pPr>
            <w:pStyle w:val="9A908B4F21DC4C47887285EDDA58B541"/>
          </w:pPr>
          <w:r>
            <w:rPr>
              <w:rStyle w:val="PlaceholderText"/>
            </w:rPr>
            <w:t>[Middle name]</w:t>
          </w:r>
        </w:p>
      </w:docPartBody>
    </w:docPart>
    <w:docPart>
      <w:docPartPr>
        <w:name w:val="668634084169444BB29FDC344DF92867"/>
        <w:category>
          <w:name w:val="General"/>
          <w:gallery w:val="placeholder"/>
        </w:category>
        <w:types>
          <w:type w:val="bbPlcHdr"/>
        </w:types>
        <w:behaviors>
          <w:behavior w:val="content"/>
        </w:behaviors>
        <w:guid w:val="{98D8A5B6-9D6B-814A-8132-DD288F0F236A}"/>
      </w:docPartPr>
      <w:docPartBody>
        <w:p w:rsidR="00000000" w:rsidRDefault="004E117A">
          <w:pPr>
            <w:pStyle w:val="668634084169444BB29FDC344DF92867"/>
          </w:pPr>
          <w:r>
            <w:rPr>
              <w:rStyle w:val="PlaceholderText"/>
            </w:rPr>
            <w:t>[Last name]</w:t>
          </w:r>
        </w:p>
      </w:docPartBody>
    </w:docPart>
    <w:docPart>
      <w:docPartPr>
        <w:name w:val="B9EB2D793FA8C44EA5A7E399110EA381"/>
        <w:category>
          <w:name w:val="General"/>
          <w:gallery w:val="placeholder"/>
        </w:category>
        <w:types>
          <w:type w:val="bbPlcHdr"/>
        </w:types>
        <w:behaviors>
          <w:behavior w:val="content"/>
        </w:behaviors>
        <w:guid w:val="{3BD98359-0FC9-B141-B708-4831FD41B651}"/>
      </w:docPartPr>
      <w:docPartBody>
        <w:p w:rsidR="00000000" w:rsidRDefault="004E117A">
          <w:pPr>
            <w:pStyle w:val="B9EB2D793FA8C44EA5A7E399110EA381"/>
          </w:pPr>
          <w:r>
            <w:rPr>
              <w:rStyle w:val="PlaceholderText"/>
            </w:rPr>
            <w:t>[Enter your biography]</w:t>
          </w:r>
        </w:p>
      </w:docPartBody>
    </w:docPart>
    <w:docPart>
      <w:docPartPr>
        <w:name w:val="24E22822C3C2AF4EA5B2DB7726AD9DC9"/>
        <w:category>
          <w:name w:val="General"/>
          <w:gallery w:val="placeholder"/>
        </w:category>
        <w:types>
          <w:type w:val="bbPlcHdr"/>
        </w:types>
        <w:behaviors>
          <w:behavior w:val="content"/>
        </w:behaviors>
        <w:guid w:val="{839E19BF-08E8-5B45-94A5-82F5C9089487}"/>
      </w:docPartPr>
      <w:docPartBody>
        <w:p w:rsidR="00000000" w:rsidRDefault="004E117A">
          <w:pPr>
            <w:pStyle w:val="24E22822C3C2AF4EA5B2DB7726AD9DC9"/>
          </w:pPr>
          <w:r>
            <w:rPr>
              <w:rStyle w:val="PlaceholderText"/>
            </w:rPr>
            <w:t>[Enter the institution with which you are affiliated]</w:t>
          </w:r>
        </w:p>
      </w:docPartBody>
    </w:docPart>
    <w:docPart>
      <w:docPartPr>
        <w:name w:val="8AAF8251CBCC394E967895A51D692747"/>
        <w:category>
          <w:name w:val="General"/>
          <w:gallery w:val="placeholder"/>
        </w:category>
        <w:types>
          <w:type w:val="bbPlcHdr"/>
        </w:types>
        <w:behaviors>
          <w:behavior w:val="content"/>
        </w:behaviors>
        <w:guid w:val="{8F4332B6-B86D-0F44-9AC2-75F2D6AF8A7B}"/>
      </w:docPartPr>
      <w:docPartBody>
        <w:p w:rsidR="00000000" w:rsidRDefault="004E117A">
          <w:pPr>
            <w:pStyle w:val="8AAF8251CBCC394E967895A51D692747"/>
          </w:pPr>
          <w:r w:rsidRPr="00EF74F7">
            <w:rPr>
              <w:b/>
              <w:color w:val="808080" w:themeColor="background1" w:themeShade="80"/>
            </w:rPr>
            <w:t>[Enter the headword for your article]</w:t>
          </w:r>
        </w:p>
      </w:docPartBody>
    </w:docPart>
    <w:docPart>
      <w:docPartPr>
        <w:name w:val="F94378A81CCCDB439C15C2D4665DB60C"/>
        <w:category>
          <w:name w:val="General"/>
          <w:gallery w:val="placeholder"/>
        </w:category>
        <w:types>
          <w:type w:val="bbPlcHdr"/>
        </w:types>
        <w:behaviors>
          <w:behavior w:val="content"/>
        </w:behaviors>
        <w:guid w:val="{2370318F-FEEC-D146-8350-F396EF345837}"/>
      </w:docPartPr>
      <w:docPartBody>
        <w:p w:rsidR="00000000" w:rsidRDefault="004E117A">
          <w:pPr>
            <w:pStyle w:val="F94378A81CCCDB439C15C2D4665DB6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629F0B67A0BC4CA62A43154E72AF91"/>
        <w:category>
          <w:name w:val="General"/>
          <w:gallery w:val="placeholder"/>
        </w:category>
        <w:types>
          <w:type w:val="bbPlcHdr"/>
        </w:types>
        <w:behaviors>
          <w:behavior w:val="content"/>
        </w:behaviors>
        <w:guid w:val="{1845EB66-EB1B-C340-BDBF-B764B397029A}"/>
      </w:docPartPr>
      <w:docPartBody>
        <w:p w:rsidR="00000000" w:rsidRDefault="004E117A">
          <w:pPr>
            <w:pStyle w:val="EE629F0B67A0BC4CA62A43154E72AF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389C323BCD324CB6F2CE73E3F330B7"/>
        <w:category>
          <w:name w:val="General"/>
          <w:gallery w:val="placeholder"/>
        </w:category>
        <w:types>
          <w:type w:val="bbPlcHdr"/>
        </w:types>
        <w:behaviors>
          <w:behavior w:val="content"/>
        </w:behaviors>
        <w:guid w:val="{043ABF20-90D5-214C-BA6D-DC57BEEECC10}"/>
      </w:docPartPr>
      <w:docPartBody>
        <w:p w:rsidR="00000000" w:rsidRDefault="004E117A">
          <w:pPr>
            <w:pStyle w:val="FF389C323BCD324CB6F2CE73E3F330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DD4637283E4540A557DE34C2AC5DDF"/>
        <w:category>
          <w:name w:val="General"/>
          <w:gallery w:val="placeholder"/>
        </w:category>
        <w:types>
          <w:type w:val="bbPlcHdr"/>
        </w:types>
        <w:behaviors>
          <w:behavior w:val="content"/>
        </w:behaviors>
        <w:guid w:val="{87FA8193-D8D4-794B-914B-4651BAE63F33}"/>
      </w:docPartPr>
      <w:docPartBody>
        <w:p w:rsidR="00000000" w:rsidRDefault="004E117A">
          <w:pPr>
            <w:pStyle w:val="6CDD4637283E4540A557DE34C2AC5DD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Gar11</b:Tag>
    <b:SourceType>JournalArticle</b:SourceType>
    <b:Guid>{AF748F42-A5E0-8D45-AAE6-AE92A02C7E06}</b:Guid>
    <b:Author>
      <b:Author>
        <b:NameList>
          <b:Person>
            <b:Last>Garafola</b:Last>
            <b:First>L.</b:First>
          </b:Person>
        </b:NameList>
      </b:Author>
    </b:Author>
    <b:Title>An Amazon of the Avant Garde: Bronislava in Revolutionary Russia</b:Title>
    <b:Year>2011</b:Year>
    <b:Pages>109-67</b:Pages>
    <b:Volume>XXIII</b:Volume>
    <b:Issue>2</b:Issue>
    <b:Comments>Gives a detailed analysis of the changes Nijinska made to classroom training in ballet.</b:Comments>
    <b:JournalName>Dance Research</b:JournalName>
    <b:RefOrder>1</b:RefOrder>
  </b:Source>
  <b:Source>
    <b:Tag>Jor07</b:Tag>
    <b:SourceType>Book</b:SourceType>
    <b:Guid>{6AC2436F-0E14-C94B-AB31-9EA2216044D8}</b:Guid>
    <b:Author>
      <b:Author>
        <b:NameList>
          <b:Person>
            <b:Last>Jordan</b:Last>
            <b:First>S.</b:First>
          </b:Person>
        </b:NameList>
      </b:Author>
    </b:Author>
    <b:Title>Stravinsky Dances: Re-Visions Across A Century</b:Title>
    <b:City>Alton</b:City>
    <b:CountryRegion>UK</b:CountryRegion>
    <b:Publisher>Dance Books</b:Publisher>
    <b:Year>2007</b:Year>
    <b:Comments>Isolates the works Ashton made to Stravinsky’s music and demonstrates a difference in his musical style.</b:Comments>
    <b:RefOrder>3</b:RefOrder>
  </b:Source>
  <b:Source>
    <b:Tag>Dan96</b:Tag>
    <b:SourceType>Book</b:SourceType>
    <b:Guid>{04EBDB77-51D5-5245-B39F-9FBFB22AF9D4}</b:Guid>
    <b:Title>Following Sir Fred’s Steps: Ashton’s Legacy</b:Title>
    <b:Publisher>Dance Books</b:Publisher>
    <b:City>London</b:City>
    <b:Year>1996</b:Year>
    <b:Author>
      <b:Editor>
        <b:NameList>
          <b:Person>
            <b:Last>Grau</b:Last>
            <b:First>A.</b:First>
          </b:Person>
          <b:Person>
            <b:Last>Jordan</b:Last>
            <b:First>S.</b:First>
          </b:Person>
        </b:NameList>
      </b:Editor>
      <b:Author>
        <b:Corporate>Dance Books</b:Corporate>
      </b:Author>
    </b:Author>
    <b:Comments>A useful collection of essays on different aspects of Ashton’s works, including excellent material from dancers with whom he worked.</b:Comments>
    <b:CountryRegion>UK</b:CountryRegion>
    <b:RefOrder>2</b:RefOrder>
  </b:Source>
  <b:Source>
    <b:Tag>Kav96</b:Tag>
    <b:SourceType>Book</b:SourceType>
    <b:Guid>{5DCC2DBF-EFED-E04A-B60E-90195769EFA0}</b:Guid>
    <b:Author>
      <b:Author>
        <b:NameList>
          <b:Person>
            <b:Last>Kavanagh</b:Last>
            <b:First>J.</b:First>
          </b:Person>
        </b:NameList>
      </b:Author>
    </b:Author>
    <b:Title>Secret Muses: The Life of Frederick Ashton</b:Title>
    <b:City>London</b:City>
    <b:CountryRegion>UK</b:CountryRegion>
    <b:Publisher>Faber &amp; Faber</b:Publisher>
    <b:Year>1996</b:Year>
    <b:Comments>A thorough biography dealing mainly with Ashton’s private life.</b:Comments>
    <b:RefOrder>4</b:RefOrder>
  </b:Source>
  <b:Source>
    <b:Tag>Mac87</b:Tag>
    <b:SourceType>Book</b:SourceType>
    <b:Guid>{99B726B2-A32F-9741-9297-BCB01AB69087}</b:Guid>
    <b:Author>
      <b:Author>
        <b:NameList>
          <b:Person>
            <b:Last>Macaulay</b:Last>
            <b:First>A.</b:First>
          </b:Person>
        </b:NameList>
      </b:Author>
    </b:Author>
    <b:Title>Some Views and Reviews of Ashton’s Choreography</b:Title>
    <b:City>Alton</b:City>
    <b:CountryRegion>UK</b:CountryRegion>
    <b:Publisher>National Resource Centre for Dance</b:Publisher>
    <b:Year>1987</b:Year>
    <b:Comments>Thoughtful reviews of some of Ashton’s most important works from a critic whose writing is both poetic and accurate.</b:Comments>
    <b:RefOrder>5</b:RefOrder>
  </b:Source>
  <b:Source>
    <b:Tag>Mor12</b:Tag>
    <b:SourceType>Book</b:SourceType>
    <b:Guid>{B396573C-0496-A641-9529-5A0114399705}</b:Guid>
    <b:Author>
      <b:Author>
        <b:NameList>
          <b:Person>
            <b:Last>Morris</b:Last>
            <b:First>G.</b:First>
          </b:Person>
        </b:NameList>
      </b:Author>
    </b:Author>
    <b:Title>Frederick Ashton’s Ballets: Style, Performance, Choreography</b:Title>
    <b:City>Alton</b:City>
    <b:CountryRegion>UK</b:CountryRegion>
    <b:Publisher>Dance Books</b:Publisher>
    <b:Year>2012</b:Year>
    <b:Comments>The most recent book on Ashton which not only examines his choreographic style in six works but also explores ballet training in Britain during the 1930s 1940s and 1950s.</b:Comments>
    <b:RefOrder>6</b:RefOrder>
  </b:Source>
  <b:Source>
    <b:Tag>Vau99</b:Tag>
    <b:SourceType>Book</b:SourceType>
    <b:Guid>{32E1F2BD-653E-4841-9D93-5F8AEC556C74}</b:Guid>
    <b:Author>
      <b:Author>
        <b:NameList>
          <b:Person>
            <b:Last>Vaughan</b:Last>
            <b:First>D.</b:First>
          </b:Person>
        </b:NameList>
      </b:Author>
    </b:Author>
    <b:Title>Frederick Ashton and His Ballets</b:Title>
    <b:City>London</b:City>
    <b:Publisher>Dance Books</b:Publisher>
    <b:Year>1999</b:Year>
    <b:Edition>Revised Edition</b:Edition>
    <b:Comments>An excellent biography of Ashton’s choreographic career, with a short, detailed discussion of individual works.</b:Comments>
    <b:RefOrder>7</b:RefOrder>
  </b:Source>
  <b:Source>
    <b:Tag>Woh96</b:Tag>
    <b:SourceType>JournalArticle</b:SourceType>
    <b:Guid>{4A76DB8C-2559-1E48-8A51-5A4B0175E32D}</b:Guid>
    <b:Author>
      <b:Author>
        <b:NameList>
          <b:Person>
            <b:Last>Wohlfahrt</b:Last>
            <b:First>H.-T.</b:First>
          </b:Person>
        </b:NameList>
      </b:Author>
    </b:Author>
    <b:Title>Ashton’s Last Interview</b:Title>
    <b:Year>1996</b:Year>
    <b:Volume>V</b:Volume>
    <b:Pages>25-30</b:Pages>
    <b:Comments>An interview in which the choreographer looks back at his career and discusses the major influences on his work.</b:Comments>
    <b:JournalName>Dance Now</b:JournalName>
    <b:Issue>1</b:Issue>
    <b:RefOrder>8</b:RefOrder>
  </b:Source>
  <b:Source>
    <b:Tag>Vau991</b:Tag>
    <b:SourceType>InternetSite</b:SourceType>
    <b:Guid>{5DCE2B31-8255-BC43-B5A2-A715F2121017}</b:Guid>
    <b:Author>
      <b:Author>
        <b:NameList>
          <b:Person>
            <b:Last>Vaughan</b:Last>
            <b:First>D.</b:First>
          </b:Person>
        </b:NameList>
      </b:Author>
    </b:Author>
    <b:Title>Celebrating Ashton</b:Title>
    <b:InternetSiteTitle>Danceview: The Ashton Archive</b:InternetSiteTitle>
    <b:URL>http://www.danceview.org/archives/ashton/vaughan1.html</b:URL>
    <b:Year>1999</b:Year>
    <b:RefOrder>9</b:RefOrder>
  </b:Source>
</b:Sources>
</file>

<file path=customXml/itemProps1.xml><?xml version="1.0" encoding="utf-8"?>
<ds:datastoreItem xmlns:ds="http://schemas.openxmlformats.org/officeDocument/2006/customXml" ds:itemID="{38C05B91-6DEA-7742-B6E3-0D3075E1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6</Pages>
  <Words>2223</Words>
  <Characters>12675</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6</cp:revision>
  <dcterms:created xsi:type="dcterms:W3CDTF">2015-01-08T21:24:00Z</dcterms:created>
  <dcterms:modified xsi:type="dcterms:W3CDTF">2015-01-08T22:09:00Z</dcterms:modified>
</cp:coreProperties>
</file>