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C26F30" w14:textId="77777777" w:rsidTr="00922950">
        <w:tc>
          <w:tcPr>
            <w:tcW w:w="491" w:type="dxa"/>
            <w:vMerge w:val="restart"/>
            <w:shd w:val="clear" w:color="auto" w:fill="A6A6A6" w:themeFill="background1" w:themeFillShade="A6"/>
            <w:textDirection w:val="btLr"/>
          </w:tcPr>
          <w:p w14:paraId="3E6E04C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741100D4298E469FC892CE6ECF7648"/>
            </w:placeholder>
            <w:showingPlcHdr/>
            <w:dropDownList>
              <w:listItem w:displayText="Dr." w:value="Dr."/>
              <w:listItem w:displayText="Prof." w:value="Prof."/>
            </w:dropDownList>
          </w:sdtPr>
          <w:sdtEndPr/>
          <w:sdtContent>
            <w:tc>
              <w:tcPr>
                <w:tcW w:w="1259" w:type="dxa"/>
              </w:tcPr>
              <w:p w14:paraId="1DBAE0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59C3BDFA0F5F4995A95B6028652F1C"/>
            </w:placeholder>
            <w:text/>
          </w:sdtPr>
          <w:sdtEndPr/>
          <w:sdtContent>
            <w:tc>
              <w:tcPr>
                <w:tcW w:w="2073" w:type="dxa"/>
              </w:tcPr>
              <w:p w14:paraId="2536DE90" w14:textId="77777777" w:rsidR="00B574C9" w:rsidRDefault="000A6001" w:rsidP="000A6001">
                <w:proofErr w:type="spellStart"/>
                <w:r>
                  <w:t>Nicoletta</w:t>
                </w:r>
                <w:proofErr w:type="spellEnd"/>
              </w:p>
            </w:tc>
          </w:sdtContent>
        </w:sdt>
        <w:sdt>
          <w:sdtPr>
            <w:alias w:val="Middle name"/>
            <w:tag w:val="authorMiddleName"/>
            <w:id w:val="-2076034781"/>
            <w:placeholder>
              <w:docPart w:val="A81A5ED2C7F58D408A937F7F54E59B3C"/>
            </w:placeholder>
            <w:showingPlcHdr/>
            <w:text/>
          </w:sdtPr>
          <w:sdtEndPr/>
          <w:sdtContent>
            <w:tc>
              <w:tcPr>
                <w:tcW w:w="2551" w:type="dxa"/>
              </w:tcPr>
              <w:p w14:paraId="45050757" w14:textId="77777777" w:rsidR="00B574C9" w:rsidRDefault="00B574C9" w:rsidP="00922950">
                <w:r>
                  <w:rPr>
                    <w:rStyle w:val="PlaceholderText"/>
                  </w:rPr>
                  <w:t>[Middle name]</w:t>
                </w:r>
              </w:p>
            </w:tc>
          </w:sdtContent>
        </w:sdt>
        <w:sdt>
          <w:sdtPr>
            <w:alias w:val="Last name"/>
            <w:tag w:val="authorLastName"/>
            <w:id w:val="-1088529830"/>
            <w:placeholder>
              <w:docPart w:val="11FF432F44B74C40AFD9D29B6ACA5DE1"/>
            </w:placeholder>
            <w:text/>
          </w:sdtPr>
          <w:sdtEndPr/>
          <w:sdtContent>
            <w:tc>
              <w:tcPr>
                <w:tcW w:w="2642" w:type="dxa"/>
              </w:tcPr>
              <w:p w14:paraId="6CF763F4" w14:textId="77777777" w:rsidR="00B574C9" w:rsidRDefault="000A6001" w:rsidP="000A6001">
                <w:proofErr w:type="spellStart"/>
                <w:r>
                  <w:t>Misler</w:t>
                </w:r>
                <w:proofErr w:type="spellEnd"/>
              </w:p>
            </w:tc>
          </w:sdtContent>
        </w:sdt>
      </w:tr>
      <w:tr w:rsidR="00B574C9" w14:paraId="179C63E5" w14:textId="77777777" w:rsidTr="001A6A06">
        <w:trPr>
          <w:trHeight w:val="986"/>
        </w:trPr>
        <w:tc>
          <w:tcPr>
            <w:tcW w:w="491" w:type="dxa"/>
            <w:vMerge/>
            <w:shd w:val="clear" w:color="auto" w:fill="A6A6A6" w:themeFill="background1" w:themeFillShade="A6"/>
          </w:tcPr>
          <w:p w14:paraId="633085D6" w14:textId="77777777" w:rsidR="00B574C9" w:rsidRPr="001A6A06" w:rsidRDefault="00B574C9" w:rsidP="00CF1542">
            <w:pPr>
              <w:jc w:val="center"/>
              <w:rPr>
                <w:b/>
                <w:color w:val="FFFFFF" w:themeColor="background1"/>
              </w:rPr>
            </w:pPr>
          </w:p>
        </w:tc>
        <w:sdt>
          <w:sdtPr>
            <w:alias w:val="Biography"/>
            <w:tag w:val="authorBiography"/>
            <w:id w:val="938807824"/>
            <w:placeholder>
              <w:docPart w:val="1B1FAF8927373C488A67DCCEA2C80AF2"/>
            </w:placeholder>
            <w:showingPlcHdr/>
          </w:sdtPr>
          <w:sdtEndPr/>
          <w:sdtContent>
            <w:tc>
              <w:tcPr>
                <w:tcW w:w="8525" w:type="dxa"/>
                <w:gridSpan w:val="4"/>
              </w:tcPr>
              <w:p w14:paraId="578B572E" w14:textId="77777777" w:rsidR="00B574C9" w:rsidRDefault="00B574C9" w:rsidP="00922950">
                <w:r>
                  <w:rPr>
                    <w:rStyle w:val="PlaceholderText"/>
                  </w:rPr>
                  <w:t>[Enter your biography]</w:t>
                </w:r>
              </w:p>
            </w:tc>
          </w:sdtContent>
        </w:sdt>
      </w:tr>
      <w:tr w:rsidR="00B574C9" w14:paraId="248B5F56" w14:textId="77777777" w:rsidTr="001A6A06">
        <w:trPr>
          <w:trHeight w:val="986"/>
        </w:trPr>
        <w:tc>
          <w:tcPr>
            <w:tcW w:w="491" w:type="dxa"/>
            <w:vMerge/>
            <w:shd w:val="clear" w:color="auto" w:fill="A6A6A6" w:themeFill="background1" w:themeFillShade="A6"/>
          </w:tcPr>
          <w:p w14:paraId="65B0F60C" w14:textId="77777777" w:rsidR="00B574C9" w:rsidRPr="001A6A06" w:rsidRDefault="00B574C9" w:rsidP="00CF1542">
            <w:pPr>
              <w:jc w:val="center"/>
              <w:rPr>
                <w:b/>
                <w:color w:val="FFFFFF" w:themeColor="background1"/>
              </w:rPr>
            </w:pPr>
          </w:p>
        </w:tc>
        <w:sdt>
          <w:sdtPr>
            <w:alias w:val="Affiliation"/>
            <w:tag w:val="affiliation"/>
            <w:id w:val="2012937915"/>
            <w:placeholder>
              <w:docPart w:val="9CC5CE90922CF941AFA533F58F592C21"/>
            </w:placeholder>
            <w:text/>
          </w:sdtPr>
          <w:sdtEndPr/>
          <w:sdtContent>
            <w:tc>
              <w:tcPr>
                <w:tcW w:w="8525" w:type="dxa"/>
                <w:gridSpan w:val="4"/>
              </w:tcPr>
              <w:p w14:paraId="50DC0A7E" w14:textId="58DA785D" w:rsidR="00B574C9" w:rsidRDefault="00024537" w:rsidP="00024537">
                <w:r w:rsidRPr="0042318E">
                  <w:rPr>
                    <w:lang w:val="en-US"/>
                  </w:rPr>
                  <w:t>Dept. of Slavic La</w:t>
                </w:r>
                <w:r>
                  <w:rPr>
                    <w:lang w:val="en-US"/>
                  </w:rPr>
                  <w:t>nguages and Literatures, Univer</w:t>
                </w:r>
                <w:r w:rsidRPr="0042318E">
                  <w:rPr>
                    <w:lang w:val="en-US"/>
                  </w:rPr>
                  <w:t>s</w:t>
                </w:r>
                <w:r>
                  <w:rPr>
                    <w:lang w:val="en-US"/>
                  </w:rPr>
                  <w:t>i</w:t>
                </w:r>
                <w:r w:rsidRPr="0042318E">
                  <w:rPr>
                    <w:lang w:val="en-US"/>
                  </w:rPr>
                  <w:t>ty of Southern California</w:t>
                </w:r>
              </w:p>
            </w:tc>
          </w:sdtContent>
        </w:sdt>
      </w:tr>
    </w:tbl>
    <w:p w14:paraId="11D53EB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4AEC55" w14:textId="77777777" w:rsidTr="00244BB0">
        <w:tc>
          <w:tcPr>
            <w:tcW w:w="9016" w:type="dxa"/>
            <w:shd w:val="clear" w:color="auto" w:fill="A6A6A6" w:themeFill="background1" w:themeFillShade="A6"/>
            <w:tcMar>
              <w:top w:w="113" w:type="dxa"/>
              <w:bottom w:w="113" w:type="dxa"/>
            </w:tcMar>
          </w:tcPr>
          <w:p w14:paraId="3CD479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06EE34" w14:textId="77777777" w:rsidTr="003F0D73">
        <w:sdt>
          <w:sdtPr>
            <w:rPr>
              <w:b/>
            </w:rPr>
            <w:alias w:val="Article headword"/>
            <w:tag w:val="articleHeadword"/>
            <w:id w:val="-361440020"/>
            <w:placeholder>
              <w:docPart w:val="F4B49B2A592A5349A74B5DDCABCAF0D3"/>
            </w:placeholder>
            <w:text/>
          </w:sdtPr>
          <w:sdtEndPr/>
          <w:sdtContent>
            <w:tc>
              <w:tcPr>
                <w:tcW w:w="9016" w:type="dxa"/>
                <w:tcMar>
                  <w:top w:w="113" w:type="dxa"/>
                  <w:bottom w:w="113" w:type="dxa"/>
                </w:tcMar>
              </w:tcPr>
              <w:p w14:paraId="5B59405C" w14:textId="77777777" w:rsidR="003F0D73" w:rsidRPr="00FB589A" w:rsidRDefault="001F4433" w:rsidP="001F4433">
                <w:proofErr w:type="spellStart"/>
                <w:r w:rsidRPr="001F4433">
                  <w:rPr>
                    <w:b/>
                    <w:lang w:eastAsia="ja-JP"/>
                  </w:rPr>
                  <w:t>Foregger</w:t>
                </w:r>
                <w:proofErr w:type="spellEnd"/>
                <w:r w:rsidRPr="001F4433">
                  <w:rPr>
                    <w:b/>
                    <w:lang w:eastAsia="ja-JP"/>
                  </w:rPr>
                  <w:t xml:space="preserve">, Nikolai </w:t>
                </w:r>
                <w:proofErr w:type="spellStart"/>
                <w:r w:rsidRPr="001F4433">
                  <w:rPr>
                    <w:b/>
                    <w:lang w:eastAsia="ja-JP"/>
                  </w:rPr>
                  <w:t>Mikhailovich</w:t>
                </w:r>
                <w:proofErr w:type="spellEnd"/>
                <w:r>
                  <w:rPr>
                    <w:b/>
                    <w:lang w:eastAsia="ja-JP"/>
                  </w:rPr>
                  <w:t xml:space="preserve"> (1892-1939)</w:t>
                </w:r>
              </w:p>
            </w:tc>
          </w:sdtContent>
        </w:sdt>
      </w:tr>
      <w:tr w:rsidR="00464699" w14:paraId="0D2AD785" w14:textId="77777777" w:rsidTr="007821B0">
        <w:sdt>
          <w:sdtPr>
            <w:alias w:val="Variant headwords"/>
            <w:tag w:val="variantHeadwords"/>
            <w:id w:val="173464402"/>
            <w:placeholder>
              <w:docPart w:val="72E3BF1F68FC12429A98A149E05E8789"/>
            </w:placeholder>
            <w:showingPlcHdr/>
          </w:sdtPr>
          <w:sdtEndPr/>
          <w:sdtContent>
            <w:tc>
              <w:tcPr>
                <w:tcW w:w="9016" w:type="dxa"/>
                <w:tcMar>
                  <w:top w:w="113" w:type="dxa"/>
                  <w:bottom w:w="113" w:type="dxa"/>
                </w:tcMar>
              </w:tcPr>
              <w:p w14:paraId="46ED00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FEA146" w14:textId="77777777" w:rsidTr="003F0D73">
        <w:sdt>
          <w:sdtPr>
            <w:alias w:val="Abstract"/>
            <w:tag w:val="abstract"/>
            <w:id w:val="-635871867"/>
            <w:placeholder>
              <w:docPart w:val="F00164D97D65174A917B6740AE840330"/>
            </w:placeholder>
          </w:sdtPr>
          <w:sdtEndPr/>
          <w:sdtContent>
            <w:tc>
              <w:tcPr>
                <w:tcW w:w="9016" w:type="dxa"/>
                <w:tcMar>
                  <w:top w:w="113" w:type="dxa"/>
                  <w:bottom w:w="113" w:type="dxa"/>
                </w:tcMar>
              </w:tcPr>
              <w:p w14:paraId="3F9AC183" w14:textId="0E202E4E" w:rsidR="00E85A05" w:rsidRDefault="00B244A5" w:rsidP="00B244A5">
                <w:pPr>
                  <w:widowControl w:val="0"/>
                </w:pPr>
                <w:r>
                  <w:t xml:space="preserve">A Soviet artist, critic, designer, choreographer and theatre director, Nikolai </w:t>
                </w:r>
                <w:proofErr w:type="spellStart"/>
                <w:r>
                  <w:t>Mikhailovich</w:t>
                </w:r>
                <w:proofErr w:type="spellEnd"/>
                <w:r>
                  <w:t xml:space="preserve"> </w:t>
                </w:r>
                <w:proofErr w:type="spellStart"/>
                <w:r>
                  <w:t>Foregger</w:t>
                </w:r>
                <w:proofErr w:type="spellEnd"/>
                <w:r>
                  <w:t xml:space="preserve"> graduated from Law School at Kiev University, with a specialisation in medieval French theatre. In the early 1910s, he came under the influence of Alexandra </w:t>
                </w:r>
                <w:proofErr w:type="spellStart"/>
                <w:r>
                  <w:t>Exter</w:t>
                </w:r>
                <w:proofErr w:type="spellEnd"/>
                <w:r>
                  <w:t xml:space="preserve"> and members of the Futurist movement. In the 1920s, his ‘Studio </w:t>
                </w:r>
                <w:proofErr w:type="spellStart"/>
                <w:r>
                  <w:t>Foregger</w:t>
                </w:r>
                <w:proofErr w:type="spellEnd"/>
                <w:r>
                  <w:t>’ (</w:t>
                </w:r>
                <w:proofErr w:type="spellStart"/>
                <w:r>
                  <w:t>Mastfor</w:t>
                </w:r>
                <w:proofErr w:type="spellEnd"/>
                <w:r>
                  <w:t>) concentrated on working with the actor’s body, elaborating a system of ‘small forms’, or one-act theatre pieces, which borrowed new movement techniques from circus, street and factory in an attempt to ‘</w:t>
                </w:r>
                <w:proofErr w:type="spellStart"/>
                <w:r>
                  <w:t>desanctify</w:t>
                </w:r>
                <w:proofErr w:type="spellEnd"/>
                <w:r>
                  <w:t xml:space="preserve">’ traditional theatre. </w:t>
                </w:r>
                <w:proofErr w:type="spellStart"/>
                <w:r>
                  <w:t>Foregger</w:t>
                </w:r>
                <w:proofErr w:type="spellEnd"/>
                <w:r>
                  <w:t xml:space="preserve"> reclaimed historical forms from the popular theatre such as the Commedia </w:t>
                </w:r>
                <w:proofErr w:type="spellStart"/>
                <w:r>
                  <w:t>dell’arte</w:t>
                </w:r>
                <w:proofErr w:type="spellEnd"/>
                <w:r>
                  <w:t xml:space="preserve"> and the itinerant theatre, combining them with contemporary ‘low’ forms such as cabaret, music hall, and variety theatre, and enhancing them with parodies of representatives of the new Soviet society – </w:t>
                </w:r>
                <w:proofErr w:type="spellStart"/>
                <w:r>
                  <w:t>NEPmen</w:t>
                </w:r>
                <w:proofErr w:type="spellEnd"/>
                <w:r>
                  <w:t xml:space="preserve">, loquacious intellectuals and even Party bureaucrats. The resulting performances were popular, sophisticated and successful.  Within the Soviet theatrical avant-garde, </w:t>
                </w:r>
                <w:proofErr w:type="spellStart"/>
                <w:r>
                  <w:t>Foregger</w:t>
                </w:r>
                <w:proofErr w:type="spellEnd"/>
                <w:r>
                  <w:t xml:space="preserve"> is also remembered for his ‘eccentric’ or ‘mechanical’ dances, which required a specific kind of physical training. </w:t>
                </w:r>
              </w:p>
            </w:tc>
          </w:sdtContent>
        </w:sdt>
      </w:tr>
      <w:tr w:rsidR="003F0D73" w14:paraId="2983A3A0" w14:textId="77777777" w:rsidTr="003F0D73">
        <w:sdt>
          <w:sdtPr>
            <w:alias w:val="Article text"/>
            <w:tag w:val="articleText"/>
            <w:id w:val="634067588"/>
            <w:placeholder>
              <w:docPart w:val="F5404A452BF2B744ACBB4F8FA69FAABB"/>
            </w:placeholder>
          </w:sdtPr>
          <w:sdtEndPr/>
          <w:sdtContent>
            <w:tc>
              <w:tcPr>
                <w:tcW w:w="9016" w:type="dxa"/>
                <w:tcMar>
                  <w:top w:w="113" w:type="dxa"/>
                  <w:bottom w:w="113" w:type="dxa"/>
                </w:tcMar>
              </w:tcPr>
              <w:p w14:paraId="78131DBF" w14:textId="3F5947E6" w:rsidR="000A6001" w:rsidRDefault="000A6001" w:rsidP="000A6001">
                <w:pPr>
                  <w:widowControl w:val="0"/>
                </w:pPr>
                <w:r>
                  <w:t xml:space="preserve">A Soviet artist, critic, designer, choreographer and theatre director, Nikolai </w:t>
                </w:r>
                <w:proofErr w:type="spellStart"/>
                <w:r>
                  <w:t>Mikhailovich</w:t>
                </w:r>
                <w:proofErr w:type="spellEnd"/>
                <w:r>
                  <w:t xml:space="preserve"> </w:t>
                </w:r>
                <w:proofErr w:type="spellStart"/>
                <w:r>
                  <w:t>Foregger</w:t>
                </w:r>
                <w:proofErr w:type="spellEnd"/>
                <w:r>
                  <w:t xml:space="preserve"> graduated from Law School at Kiev University, with a specialisat</w:t>
                </w:r>
                <w:r w:rsidR="00B244A5">
                  <w:t>ion in medieval French theatre.</w:t>
                </w:r>
                <w:r>
                  <w:t xml:space="preserve"> In the early 1910s, he came under the influence of Alexandra </w:t>
                </w:r>
                <w:proofErr w:type="spellStart"/>
                <w:r>
                  <w:t>Exter</w:t>
                </w:r>
                <w:proofErr w:type="spellEnd"/>
                <w:r>
                  <w:t xml:space="preserve"> and mem</w:t>
                </w:r>
                <w:r w:rsidR="00B244A5">
                  <w:t xml:space="preserve">bers of the Futurist movement. </w:t>
                </w:r>
                <w:r>
                  <w:t xml:space="preserve">In the 1920s, his ‘Studio </w:t>
                </w:r>
                <w:proofErr w:type="spellStart"/>
                <w:r>
                  <w:t>Foregger</w:t>
                </w:r>
                <w:proofErr w:type="spellEnd"/>
                <w:r>
                  <w:t>’ (</w:t>
                </w:r>
                <w:proofErr w:type="spellStart"/>
                <w:r>
                  <w:t>Mastfor</w:t>
                </w:r>
                <w:proofErr w:type="spellEnd"/>
                <w:r>
                  <w:t>) concentrated on working with the actor’s body, elaborating a system of ‘small forms’</w:t>
                </w:r>
                <w:r w:rsidR="00B244A5">
                  <w:t>,</w:t>
                </w:r>
                <w:r>
                  <w:t xml:space="preserve"> or one-act theatre pieces, which borrowed new movement techniques from circus, street and factory in an attempt to ‘</w:t>
                </w:r>
                <w:proofErr w:type="spellStart"/>
                <w:r>
                  <w:t>d</w:t>
                </w:r>
                <w:r w:rsidR="00B244A5">
                  <w:t>esanctify</w:t>
                </w:r>
                <w:proofErr w:type="spellEnd"/>
                <w:r w:rsidR="00B244A5">
                  <w:t xml:space="preserve">’ traditional theatre. </w:t>
                </w:r>
                <w:proofErr w:type="spellStart"/>
                <w:r>
                  <w:t>Foregger</w:t>
                </w:r>
                <w:proofErr w:type="spellEnd"/>
                <w:r>
                  <w:t xml:space="preserve"> reclaimed historical forms from t</w:t>
                </w:r>
                <w:r w:rsidR="00B244A5">
                  <w:t>he popular theatre such as the C</w:t>
                </w:r>
                <w:r>
                  <w:t xml:space="preserve">ommedia </w:t>
                </w:r>
                <w:proofErr w:type="spellStart"/>
                <w:r>
                  <w:t>dell’arte</w:t>
                </w:r>
                <w:proofErr w:type="spellEnd"/>
                <w:r>
                  <w:t xml:space="preserve"> and the itinerant theatre, combining them with contemporary ‘lo</w:t>
                </w:r>
                <w:r w:rsidR="00B244A5">
                  <w:t xml:space="preserve">w’ forms such as cabaret, music </w:t>
                </w:r>
                <w:r>
                  <w:t>hall, and variety theatre</w:t>
                </w:r>
                <w:r w:rsidR="00B244A5">
                  <w:t>,</w:t>
                </w:r>
                <w:r>
                  <w:t xml:space="preserve"> and enhancing them with parodies of representatives of the new Soviet society – </w:t>
                </w:r>
                <w:proofErr w:type="spellStart"/>
                <w:r>
                  <w:t>NEPmen</w:t>
                </w:r>
                <w:proofErr w:type="spellEnd"/>
                <w:r>
                  <w:t>, loquacious intellectuals and even Party bureaucrats. The resulting performan</w:t>
                </w:r>
                <w:r w:rsidR="00B244A5">
                  <w:t>ces were popular, sophisticated</w:t>
                </w:r>
                <w:r>
                  <w:t xml:space="preserve"> and successful.  Within the Soviet theatrical avant-garde, </w:t>
                </w:r>
                <w:proofErr w:type="spellStart"/>
                <w:r>
                  <w:t>Foregger</w:t>
                </w:r>
                <w:proofErr w:type="spellEnd"/>
                <w:r>
                  <w:t xml:space="preserve"> is also remembered for his ‘eccentric’ or ‘mechanical’ dances, which required a specific kind of physical training. </w:t>
                </w:r>
              </w:p>
              <w:p w14:paraId="106927EB" w14:textId="77777777" w:rsidR="000A6001" w:rsidRDefault="000A6001" w:rsidP="000A6001">
                <w:pPr>
                  <w:widowControl w:val="0"/>
                </w:pPr>
              </w:p>
              <w:p w14:paraId="15BAE6D7" w14:textId="77777777" w:rsidR="00025931" w:rsidRDefault="00025931" w:rsidP="000A6001">
                <w:pPr>
                  <w:widowControl w:val="0"/>
                </w:pPr>
                <w:r>
                  <w:t xml:space="preserve">Fig.1: </w:t>
                </w:r>
                <w:proofErr w:type="spellStart"/>
                <w:r>
                  <w:t>Foregger</w:t>
                </w:r>
                <w:proofErr w:type="spellEnd"/>
                <w:r>
                  <w:t xml:space="preserve"> 1</w:t>
                </w:r>
              </w:p>
              <w:p w14:paraId="0ECC3DF9" w14:textId="506887CA" w:rsidR="00025931" w:rsidRDefault="00025931" w:rsidP="000A6001">
                <w:pPr>
                  <w:widowControl w:val="0"/>
                  <w:rPr>
                    <w:color w:val="5B9BD5" w:themeColor="accent1"/>
                    <w:sz w:val="20"/>
                    <w:szCs w:val="20"/>
                    <w:lang w:val="en-US"/>
                  </w:rPr>
                </w:pPr>
                <w:r w:rsidRPr="00025931">
                  <w:rPr>
                    <w:color w:val="5B9BD5" w:themeColor="accent1"/>
                    <w:sz w:val="20"/>
                    <w:szCs w:val="20"/>
                    <w:lang w:val="en-US"/>
                  </w:rPr>
                  <w:t xml:space="preserve">Viktor </w:t>
                </w:r>
                <w:proofErr w:type="spellStart"/>
                <w:r w:rsidRPr="00025931">
                  <w:rPr>
                    <w:color w:val="5B9BD5" w:themeColor="accent1"/>
                    <w:sz w:val="20"/>
                    <w:szCs w:val="20"/>
                    <w:lang w:val="en-US"/>
                  </w:rPr>
                  <w:t>Ardov</w:t>
                </w:r>
                <w:proofErr w:type="spellEnd"/>
                <w:r w:rsidRPr="00025931">
                  <w:rPr>
                    <w:color w:val="5B9BD5" w:themeColor="accent1"/>
                    <w:sz w:val="20"/>
                    <w:szCs w:val="20"/>
                    <w:lang w:val="en-US"/>
                  </w:rPr>
                  <w:t xml:space="preserve">, caricature of Nikolai </w:t>
                </w:r>
                <w:proofErr w:type="spellStart"/>
                <w:r w:rsidRPr="00025931">
                  <w:rPr>
                    <w:color w:val="5B9BD5" w:themeColor="accent1"/>
                    <w:sz w:val="20"/>
                    <w:szCs w:val="20"/>
                    <w:lang w:val="en-US"/>
                  </w:rPr>
                  <w:t>Foregger</w:t>
                </w:r>
                <w:proofErr w:type="spellEnd"/>
                <w:r w:rsidRPr="00025931">
                  <w:rPr>
                    <w:color w:val="5B9BD5" w:themeColor="accent1"/>
                    <w:sz w:val="20"/>
                    <w:szCs w:val="20"/>
                    <w:lang w:val="en-US"/>
                  </w:rPr>
                  <w:t xml:space="preserve">, early 1920s.  Published in </w:t>
                </w:r>
                <w:proofErr w:type="spellStart"/>
                <w:r w:rsidRPr="00025931">
                  <w:rPr>
                    <w:i/>
                    <w:color w:val="5B9BD5" w:themeColor="accent1"/>
                    <w:sz w:val="20"/>
                    <w:szCs w:val="20"/>
                    <w:lang w:val="en-US"/>
                  </w:rPr>
                  <w:t>Zrelishcha</w:t>
                </w:r>
                <w:proofErr w:type="spellEnd"/>
                <w:r w:rsidRPr="00025931">
                  <w:rPr>
                    <w:color w:val="5B9BD5" w:themeColor="accent1"/>
                    <w:sz w:val="20"/>
                    <w:szCs w:val="20"/>
                    <w:lang w:val="en-US"/>
                  </w:rPr>
                  <w:t xml:space="preserve"> (Moscow), no. 5 (1923), p. 4.</w:t>
                </w:r>
              </w:p>
              <w:p w14:paraId="2AD0AC8C" w14:textId="77777777" w:rsidR="00025931" w:rsidRPr="00025931" w:rsidRDefault="00025931" w:rsidP="000A6001">
                <w:pPr>
                  <w:widowControl w:val="0"/>
                  <w:rPr>
                    <w:color w:val="5B9BD5" w:themeColor="accent1"/>
                    <w:sz w:val="20"/>
                    <w:szCs w:val="20"/>
                  </w:rPr>
                </w:pPr>
              </w:p>
              <w:p w14:paraId="2D2D1BD8" w14:textId="77777777" w:rsidR="000A6001" w:rsidRDefault="000A6001" w:rsidP="00B244A5">
                <w:pPr>
                  <w:pStyle w:val="Heading1"/>
                  <w:outlineLvl w:val="0"/>
                </w:pPr>
                <w:r>
                  <w:t>Life and Work</w:t>
                </w:r>
              </w:p>
              <w:p w14:paraId="3691ED29" w14:textId="17A52536" w:rsidR="000A6001" w:rsidRDefault="000A6001" w:rsidP="000A6001">
                <w:pPr>
                  <w:widowControl w:val="0"/>
                </w:pPr>
                <w:r>
                  <w:t xml:space="preserve">In 1916 </w:t>
                </w:r>
                <w:proofErr w:type="spellStart"/>
                <w:r>
                  <w:t>Foregger</w:t>
                </w:r>
                <w:proofErr w:type="spellEnd"/>
                <w:r>
                  <w:t xml:space="preserve"> collaborated with Alexander </w:t>
                </w:r>
                <w:proofErr w:type="spellStart"/>
                <w:r>
                  <w:t>Tairov’s</w:t>
                </w:r>
                <w:proofErr w:type="spellEnd"/>
                <w:r>
                  <w:t xml:space="preserve"> Moscow Chamber Theatre as an assistant </w:t>
                </w:r>
                <w:r>
                  <w:lastRenderedPageBreak/>
                  <w:t>stage designer</w:t>
                </w:r>
                <w:r w:rsidR="00B244A5">
                  <w:t>,</w:t>
                </w:r>
                <w:r>
                  <w:t xml:space="preserve"> before embarking upon his own productions for St. Petersburg’s Crooked Mirror cabaret</w:t>
                </w:r>
                <w:r w:rsidRPr="00B87BB7">
                  <w:t>.</w:t>
                </w:r>
                <w:r w:rsidR="00B244A5">
                  <w:t xml:space="preserve"> </w:t>
                </w:r>
                <w:r>
                  <w:t xml:space="preserve">In 1918 he organised his own cabaret called the Theatre of the Four Masks in his Moscow apartment, staging antique French farces and prompting actors to concentrate on mimicry rather than on psychological techniques. In 1919, along with other theatre people such as Boris Erdman and </w:t>
                </w:r>
                <w:proofErr w:type="spellStart"/>
                <w:r>
                  <w:t>Kas’ian</w:t>
                </w:r>
                <w:proofErr w:type="spellEnd"/>
                <w:r>
                  <w:t xml:space="preserve"> </w:t>
                </w:r>
                <w:proofErr w:type="spellStart"/>
                <w:r>
                  <w:t>Goleizovsky</w:t>
                </w:r>
                <w:proofErr w:type="spellEnd"/>
                <w:r>
                  <w:t xml:space="preserve">, </w:t>
                </w:r>
                <w:proofErr w:type="spellStart"/>
                <w:r>
                  <w:t>Foregger</w:t>
                </w:r>
                <w:proofErr w:type="spellEnd"/>
                <w:r>
                  <w:t xml:space="preserve"> joined the Circus Department of </w:t>
                </w:r>
                <w:proofErr w:type="spellStart"/>
                <w:r>
                  <w:t>Narkompros</w:t>
                </w:r>
                <w:proofErr w:type="spellEnd"/>
                <w:r>
                  <w:t xml:space="preserve"> (People’s Commissariat for Enlightenment), guided by the maxim that the ‘theatre and the circus are Siamese twins’. In 1920 he organised his own studio, </w:t>
                </w:r>
                <w:proofErr w:type="spellStart"/>
                <w:r>
                  <w:t>Mastfor</w:t>
                </w:r>
                <w:proofErr w:type="spellEnd"/>
                <w:r>
                  <w:t xml:space="preserve">, giving </w:t>
                </w:r>
                <w:r w:rsidRPr="00EE6DC8">
                  <w:t xml:space="preserve">performances </w:t>
                </w:r>
                <w:r w:rsidR="00B244A5">
                  <w:t>that</w:t>
                </w:r>
                <w:r w:rsidRPr="00EE6DC8">
                  <w:t xml:space="preserve"> integrated</w:t>
                </w:r>
                <w:r>
                  <w:t xml:space="preserve"> pantomime, eccentric dance and acrobatics with success. Two years later, the studio moved into government-subsidised premises in the </w:t>
                </w:r>
                <w:proofErr w:type="spellStart"/>
                <w:r>
                  <w:t>Arbat</w:t>
                </w:r>
                <w:proofErr w:type="spellEnd"/>
                <w:r>
                  <w:t xml:space="preserve"> quarter of downtown Moscow. In the 1920s, </w:t>
                </w:r>
                <w:proofErr w:type="spellStart"/>
                <w:r>
                  <w:t>Mastfor</w:t>
                </w:r>
                <w:proofErr w:type="spellEnd"/>
                <w:r>
                  <w:t xml:space="preserve"> made several tours of Len</w:t>
                </w:r>
                <w:r w:rsidR="00B244A5">
                  <w:t>ingrad (as St. Petersburg was named</w:t>
                </w:r>
                <w:r>
                  <w:t xml:space="preserve"> in 1924).</w:t>
                </w:r>
              </w:p>
              <w:p w14:paraId="17440082" w14:textId="77777777" w:rsidR="000A6001" w:rsidRDefault="000A6001" w:rsidP="000A6001">
                <w:pPr>
                  <w:widowControl w:val="0"/>
                </w:pPr>
              </w:p>
              <w:p w14:paraId="26D44110" w14:textId="39F1F666" w:rsidR="000A6001" w:rsidRDefault="000A6001" w:rsidP="000A6001">
                <w:pPr>
                  <w:widowControl w:val="0"/>
                </w:pPr>
                <w:proofErr w:type="spellStart"/>
                <w:r>
                  <w:t>Foregger</w:t>
                </w:r>
                <w:proofErr w:type="spellEnd"/>
                <w:r>
                  <w:t xml:space="preserve"> explored two a</w:t>
                </w:r>
                <w:r w:rsidR="00B244A5">
                  <w:t xml:space="preserve">pparently contradictory paths. </w:t>
                </w:r>
                <w:r>
                  <w:t xml:space="preserve">One involved almost infantile improvisation, </w:t>
                </w:r>
                <w:r w:rsidR="00B244A5">
                  <w:t>with children’s jokes, clowning</w:t>
                </w:r>
                <w:r>
                  <w:t xml:space="preserve"> and other foolery, evident in his drawings and costume designs, which recalled popular Russian prints known as </w:t>
                </w:r>
                <w:proofErr w:type="spellStart"/>
                <w:r>
                  <w:rPr>
                    <w:i/>
                  </w:rPr>
                  <w:t>lubki</w:t>
                </w:r>
                <w:proofErr w:type="spellEnd"/>
                <w:r>
                  <w:t xml:space="preserve">. The other path involved imitating or mimicking the </w:t>
                </w:r>
                <w:proofErr w:type="spellStart"/>
                <w:r>
                  <w:t>Taylorist</w:t>
                </w:r>
                <w:proofErr w:type="spellEnd"/>
                <w:r>
                  <w:t xml:space="preserve"> movements of the Centr</w:t>
                </w:r>
                <w:r w:rsidR="00B244A5">
                  <w:t>al Institute of Labour (</w:t>
                </w:r>
                <w:proofErr w:type="spellStart"/>
                <w:r w:rsidR="00B244A5">
                  <w:t>TsIT</w:t>
                </w:r>
                <w:proofErr w:type="spellEnd"/>
                <w:r w:rsidR="00B244A5">
                  <w:t xml:space="preserve">). </w:t>
                </w:r>
                <w:r>
                  <w:t xml:space="preserve">This was especially the case of </w:t>
                </w:r>
                <w:proofErr w:type="spellStart"/>
                <w:r>
                  <w:t>Foregger’s</w:t>
                </w:r>
                <w:proofErr w:type="spellEnd"/>
                <w:r>
                  <w:t xml:space="preserve"> eccentric or machine dances</w:t>
                </w:r>
                <w:r w:rsidRPr="00B87BB7">
                  <w:t>,</w:t>
                </w:r>
                <w:r>
                  <w:t xml:space="preserve"> which demanded rigorous physical tr</w:t>
                </w:r>
                <w:r w:rsidR="00B244A5">
                  <w:t>aining of the actor and dancer.</w:t>
                </w:r>
                <w:r>
                  <w:t xml:space="preserve"> Accordingly, </w:t>
                </w:r>
                <w:proofErr w:type="spellStart"/>
                <w:r>
                  <w:t>Foregger</w:t>
                </w:r>
                <w:proofErr w:type="spellEnd"/>
                <w:r>
                  <w:t xml:space="preserve"> developed a system of theatrical-</w:t>
                </w:r>
                <w:r w:rsidR="00B244A5">
                  <w:t>physical training, in which bio</w:t>
                </w:r>
                <w:r>
                  <w:t xml:space="preserve">mechanics, acrobatics and strenuous physical and psycho-physiological practices were used to create a new and completely versatile actor/dancer.   </w:t>
                </w:r>
              </w:p>
              <w:p w14:paraId="37D0C161" w14:textId="77777777" w:rsidR="000A6001" w:rsidRDefault="000A6001" w:rsidP="000A6001">
                <w:pPr>
                  <w:widowControl w:val="0"/>
                </w:pPr>
              </w:p>
              <w:p w14:paraId="61ECDB1A" w14:textId="77777777" w:rsidR="00025931" w:rsidRDefault="00025931" w:rsidP="000A6001">
                <w:pPr>
                  <w:widowControl w:val="0"/>
                </w:pPr>
                <w:r>
                  <w:t xml:space="preserve">Fig.2: </w:t>
                </w:r>
                <w:proofErr w:type="spellStart"/>
                <w:r>
                  <w:t>Foregger</w:t>
                </w:r>
                <w:proofErr w:type="spellEnd"/>
                <w:r>
                  <w:t xml:space="preserve"> 2</w:t>
                </w:r>
              </w:p>
              <w:p w14:paraId="1D0D428A" w14:textId="54B4CDAE" w:rsidR="00025931" w:rsidRPr="00025931" w:rsidRDefault="00025931" w:rsidP="000A6001">
                <w:pPr>
                  <w:widowControl w:val="0"/>
                  <w:rPr>
                    <w:color w:val="5B9BD5" w:themeColor="accent1"/>
                    <w:sz w:val="20"/>
                    <w:szCs w:val="20"/>
                    <w:lang w:val="en-US"/>
                  </w:rPr>
                </w:pPr>
                <w:proofErr w:type="spellStart"/>
                <w:r w:rsidRPr="00025931">
                  <w:rPr>
                    <w:color w:val="5B9BD5" w:themeColor="accent1"/>
                    <w:sz w:val="20"/>
                    <w:szCs w:val="20"/>
                    <w:lang w:val="en-US"/>
                  </w:rPr>
                  <w:t>Foregger</w:t>
                </w:r>
                <w:proofErr w:type="spellEnd"/>
                <w:r w:rsidRPr="00025931">
                  <w:rPr>
                    <w:color w:val="5B9BD5" w:themeColor="accent1"/>
                    <w:sz w:val="20"/>
                    <w:szCs w:val="20"/>
                    <w:lang w:val="en-US"/>
                  </w:rPr>
                  <w:t xml:space="preserve"> Studio, </w:t>
                </w:r>
                <w:r w:rsidRPr="00025931">
                  <w:rPr>
                    <w:i/>
                    <w:color w:val="5B9BD5" w:themeColor="accent1"/>
                    <w:sz w:val="20"/>
                    <w:szCs w:val="20"/>
                    <w:lang w:val="en-US"/>
                  </w:rPr>
                  <w:t>Machine Dances</w:t>
                </w:r>
                <w:r w:rsidRPr="00025931">
                  <w:rPr>
                    <w:color w:val="5B9BD5" w:themeColor="accent1"/>
                    <w:sz w:val="20"/>
                    <w:szCs w:val="20"/>
                    <w:lang w:val="en-US"/>
                  </w:rPr>
                  <w:t xml:space="preserve">.  Published in </w:t>
                </w:r>
                <w:proofErr w:type="spellStart"/>
                <w:r w:rsidRPr="00025931">
                  <w:rPr>
                    <w:color w:val="5B9BD5" w:themeColor="accent1"/>
                    <w:sz w:val="20"/>
                    <w:szCs w:val="20"/>
                    <w:lang w:val="en-US"/>
                  </w:rPr>
                  <w:t>Zoia</w:t>
                </w:r>
                <w:proofErr w:type="spellEnd"/>
                <w:r w:rsidRPr="00025931">
                  <w:rPr>
                    <w:color w:val="5B9BD5" w:themeColor="accent1"/>
                    <w:sz w:val="20"/>
                    <w:szCs w:val="20"/>
                    <w:lang w:val="en-US"/>
                  </w:rPr>
                  <w:t xml:space="preserve"> </w:t>
                </w:r>
                <w:proofErr w:type="spellStart"/>
                <w:r w:rsidRPr="00025931">
                  <w:rPr>
                    <w:color w:val="5B9BD5" w:themeColor="accent1"/>
                    <w:sz w:val="20"/>
                    <w:szCs w:val="20"/>
                    <w:lang w:val="en-US"/>
                  </w:rPr>
                  <w:t>Punina</w:t>
                </w:r>
                <w:proofErr w:type="spellEnd"/>
                <w:r w:rsidRPr="00025931">
                  <w:rPr>
                    <w:color w:val="5B9BD5" w:themeColor="accent1"/>
                    <w:sz w:val="20"/>
                    <w:szCs w:val="20"/>
                    <w:lang w:val="en-US"/>
                  </w:rPr>
                  <w:t xml:space="preserve"> et al., </w:t>
                </w:r>
                <w:proofErr w:type="spellStart"/>
                <w:r w:rsidRPr="00025931">
                  <w:rPr>
                    <w:i/>
                    <w:color w:val="5B9BD5" w:themeColor="accent1"/>
                    <w:sz w:val="20"/>
                    <w:szCs w:val="20"/>
                    <w:lang w:val="en-US"/>
                  </w:rPr>
                  <w:t>Ritm</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i</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kul’tura</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tantsa</w:t>
                </w:r>
                <w:proofErr w:type="spellEnd"/>
                <w:r w:rsidRPr="00025931">
                  <w:rPr>
                    <w:color w:val="5B9BD5" w:themeColor="accent1"/>
                    <w:sz w:val="20"/>
                    <w:szCs w:val="20"/>
                    <w:lang w:val="en-US"/>
                  </w:rPr>
                  <w:t xml:space="preserve"> (</w:t>
                </w:r>
                <w:r w:rsidRPr="00025931">
                  <w:rPr>
                    <w:i/>
                    <w:color w:val="5B9BD5" w:themeColor="accent1"/>
                    <w:sz w:val="20"/>
                    <w:szCs w:val="20"/>
                    <w:lang w:val="en-US"/>
                  </w:rPr>
                  <w:t>The Rhythm and Culture of Dance</w:t>
                </w:r>
                <w:r w:rsidRPr="00025931">
                  <w:rPr>
                    <w:color w:val="5B9BD5" w:themeColor="accent1"/>
                    <w:sz w:val="20"/>
                    <w:szCs w:val="20"/>
                    <w:lang w:val="en-US"/>
                  </w:rPr>
                  <w:t xml:space="preserve">), Leningrad, </w:t>
                </w:r>
                <w:proofErr w:type="spellStart"/>
                <w:r w:rsidRPr="00025931">
                  <w:rPr>
                    <w:color w:val="5B9BD5" w:themeColor="accent1"/>
                    <w:sz w:val="20"/>
                    <w:szCs w:val="20"/>
                    <w:lang w:val="en-US"/>
                  </w:rPr>
                  <w:t>Akademiia</w:t>
                </w:r>
                <w:proofErr w:type="spellEnd"/>
                <w:r w:rsidRPr="00025931">
                  <w:rPr>
                    <w:color w:val="5B9BD5" w:themeColor="accent1"/>
                    <w:sz w:val="20"/>
                    <w:szCs w:val="20"/>
                    <w:lang w:val="en-US"/>
                  </w:rPr>
                  <w:t>, 1926, illustration for page 20.</w:t>
                </w:r>
              </w:p>
              <w:p w14:paraId="2F4C2EC6" w14:textId="77777777" w:rsidR="00025931" w:rsidRDefault="00025931" w:rsidP="000A6001">
                <w:pPr>
                  <w:widowControl w:val="0"/>
                </w:pPr>
              </w:p>
              <w:p w14:paraId="5E97736A" w14:textId="165C7AE1" w:rsidR="000A6001" w:rsidRDefault="000A6001" w:rsidP="000A6001">
                <w:pPr>
                  <w:widowControl w:val="0"/>
                </w:pPr>
                <w:proofErr w:type="spellStart"/>
                <w:r>
                  <w:t>Mastfor</w:t>
                </w:r>
                <w:proofErr w:type="spellEnd"/>
                <w:r>
                  <w:t xml:space="preserve"> attracted the era’s leading avant-garde talents. The playwright Vladimir Mass contributed experimental dramatic texts; the future film director Sergei Eisenstein radical sets and costumes; and Boris </w:t>
                </w:r>
                <w:proofErr w:type="spellStart"/>
                <w:r>
                  <w:t>Ber</w:t>
                </w:r>
                <w:proofErr w:type="spellEnd"/>
                <w:r>
                  <w:t xml:space="preserve"> and </w:t>
                </w:r>
                <w:proofErr w:type="spellStart"/>
                <w:r>
                  <w:t>Matvei</w:t>
                </w:r>
                <w:proofErr w:type="spellEnd"/>
                <w:r>
                  <w:t xml:space="preserve"> </w:t>
                </w:r>
                <w:proofErr w:type="spellStart"/>
                <w:r>
                  <w:t>Blantner</w:t>
                </w:r>
                <w:proofErr w:type="spellEnd"/>
                <w:r w:rsidR="00B244A5">
                  <w:t xml:space="preserve"> avant-garde music. </w:t>
                </w:r>
                <w:proofErr w:type="spellStart"/>
                <w:r>
                  <w:t>Foregger’s</w:t>
                </w:r>
                <w:proofErr w:type="spellEnd"/>
                <w:r>
                  <w:t xml:space="preserve"> production of the melodrama </w:t>
                </w:r>
                <w:r>
                  <w:rPr>
                    <w:i/>
                  </w:rPr>
                  <w:t>Child Abductor</w:t>
                </w:r>
                <w:r>
                  <w:t xml:space="preserve"> (1922) had geometric drawings by Eisenstein and used stroboscopic lamps to create the</w:t>
                </w:r>
                <w:r w:rsidR="00B244A5">
                  <w:t xml:space="preserve"> impression of a silent movie. </w:t>
                </w:r>
                <w:r>
                  <w:t xml:space="preserve">Other celebrated productions were Vladimir </w:t>
                </w:r>
                <w:proofErr w:type="spellStart"/>
                <w:r>
                  <w:t>Mayakovsky’s</w:t>
                </w:r>
                <w:proofErr w:type="spellEnd"/>
                <w:r>
                  <w:t xml:space="preserve"> </w:t>
                </w:r>
                <w:r>
                  <w:rPr>
                    <w:i/>
                  </w:rPr>
                  <w:t>Good Attitude towards Horses</w:t>
                </w:r>
                <w:r>
                  <w:t xml:space="preserve"> (1921) and Charles </w:t>
                </w:r>
                <w:proofErr w:type="spellStart"/>
                <w:r>
                  <w:t>Lecocq’s</w:t>
                </w:r>
                <w:proofErr w:type="spellEnd"/>
                <w:r>
                  <w:t xml:space="preserve"> operetta </w:t>
                </w:r>
                <w:r>
                  <w:rPr>
                    <w:i/>
                  </w:rPr>
                  <w:t>Secret of the Canary Islands</w:t>
                </w:r>
                <w:r>
                  <w:t xml:space="preserve"> (based on </w:t>
                </w:r>
                <w:r>
                  <w:rPr>
                    <w:i/>
                  </w:rPr>
                  <w:t xml:space="preserve">La </w:t>
                </w:r>
                <w:proofErr w:type="spellStart"/>
                <w:r>
                  <w:rPr>
                    <w:i/>
                  </w:rPr>
                  <w:t>Princesse</w:t>
                </w:r>
                <w:proofErr w:type="spellEnd"/>
                <w:r>
                  <w:rPr>
                    <w:i/>
                  </w:rPr>
                  <w:t xml:space="preserve"> des Canaries</w:t>
                </w:r>
                <w:r w:rsidR="00B244A5">
                  <w:t xml:space="preserve">, </w:t>
                </w:r>
                <w:r>
                  <w:t>1923).</w:t>
                </w:r>
              </w:p>
              <w:p w14:paraId="733386CA" w14:textId="77777777" w:rsidR="000A6001" w:rsidRDefault="000A6001" w:rsidP="000A6001">
                <w:pPr>
                  <w:widowControl w:val="0"/>
                </w:pPr>
                <w:r>
                  <w:t xml:space="preserve"> </w:t>
                </w:r>
              </w:p>
              <w:p w14:paraId="1AC6F90F" w14:textId="1BD80121" w:rsidR="000A6001" w:rsidRDefault="000A6001" w:rsidP="000A6001">
                <w:pPr>
                  <w:widowControl w:val="0"/>
                </w:pPr>
                <w:r>
                  <w:t xml:space="preserve">In 1922, </w:t>
                </w:r>
                <w:proofErr w:type="spellStart"/>
                <w:r>
                  <w:t>Foregger</w:t>
                </w:r>
                <w:proofErr w:type="spellEnd"/>
                <w:r>
                  <w:t xml:space="preserve"> presented his </w:t>
                </w:r>
                <w:r>
                  <w:rPr>
                    <w:i/>
                  </w:rPr>
                  <w:t>Machine Dances</w:t>
                </w:r>
                <w:r>
                  <w:t xml:space="preserve"> and </w:t>
                </w:r>
                <w:r>
                  <w:rPr>
                    <w:i/>
                  </w:rPr>
                  <w:t>Mechanical Dances</w:t>
                </w:r>
                <w:r>
                  <w:t xml:space="preserve"> to demonstrate, as he wrote, the ‘ideal organisation of movements of someone from the New Era’. The </w:t>
                </w:r>
                <w:r>
                  <w:rPr>
                    <w:i/>
                  </w:rPr>
                  <w:t>Machine Dances</w:t>
                </w:r>
                <w:r>
                  <w:t xml:space="preserve"> were intended to mimic the individual parts of a machine – the movement of its gea</w:t>
                </w:r>
                <w:r w:rsidR="00B244A5">
                  <w:t xml:space="preserve">rs, conveyer belts and wheels. </w:t>
                </w:r>
                <w:r>
                  <w:t xml:space="preserve">By contrast, the </w:t>
                </w:r>
                <w:r>
                  <w:rPr>
                    <w:i/>
                  </w:rPr>
                  <w:t>Mechanical Dances</w:t>
                </w:r>
                <w:r>
                  <w:t xml:space="preserve"> sought to reproduce the precision of mechanised movements performed to a metronome.</w:t>
                </w:r>
              </w:p>
              <w:p w14:paraId="5E4D69B9" w14:textId="77777777" w:rsidR="000A6001" w:rsidRDefault="000A6001" w:rsidP="000A6001">
                <w:pPr>
                  <w:widowControl w:val="0"/>
                </w:pPr>
              </w:p>
              <w:p w14:paraId="3CED57DD" w14:textId="77777777" w:rsidR="00025931" w:rsidRDefault="00025931" w:rsidP="000A6001">
                <w:pPr>
                  <w:widowControl w:val="0"/>
                </w:pPr>
                <w:r>
                  <w:t xml:space="preserve">Fig.3: </w:t>
                </w:r>
                <w:proofErr w:type="spellStart"/>
                <w:r>
                  <w:t>Foregger</w:t>
                </w:r>
                <w:proofErr w:type="spellEnd"/>
                <w:r>
                  <w:t xml:space="preserve"> 3</w:t>
                </w:r>
              </w:p>
              <w:p w14:paraId="3C01D6DF" w14:textId="77777777" w:rsidR="00025931" w:rsidRPr="00025931" w:rsidRDefault="00025931" w:rsidP="00025931">
                <w:pPr>
                  <w:widowControl w:val="0"/>
                  <w:rPr>
                    <w:color w:val="5B9BD5" w:themeColor="accent1"/>
                    <w:sz w:val="20"/>
                    <w:szCs w:val="20"/>
                    <w:lang w:val="en-US"/>
                  </w:rPr>
                </w:pPr>
                <w:bookmarkStart w:id="0" w:name="_GoBack"/>
                <w:proofErr w:type="spellStart"/>
                <w:r w:rsidRPr="00025931">
                  <w:rPr>
                    <w:color w:val="5B9BD5" w:themeColor="accent1"/>
                    <w:sz w:val="20"/>
                    <w:szCs w:val="20"/>
                    <w:lang w:val="en-US"/>
                  </w:rPr>
                  <w:t>Foregger</w:t>
                </w:r>
                <w:proofErr w:type="spellEnd"/>
                <w:r w:rsidRPr="00025931">
                  <w:rPr>
                    <w:color w:val="5B9BD5" w:themeColor="accent1"/>
                    <w:sz w:val="20"/>
                    <w:szCs w:val="20"/>
                    <w:lang w:val="en-US"/>
                  </w:rPr>
                  <w:t xml:space="preserve"> Studio, </w:t>
                </w:r>
                <w:r w:rsidRPr="00025931">
                  <w:rPr>
                    <w:i/>
                    <w:color w:val="5B9BD5" w:themeColor="accent1"/>
                    <w:sz w:val="20"/>
                    <w:szCs w:val="20"/>
                    <w:lang w:val="en-US"/>
                  </w:rPr>
                  <w:t>Machine Dances</w:t>
                </w:r>
                <w:r w:rsidRPr="00025931">
                  <w:rPr>
                    <w:color w:val="5B9BD5" w:themeColor="accent1"/>
                    <w:sz w:val="20"/>
                    <w:szCs w:val="20"/>
                    <w:lang w:val="en-US"/>
                  </w:rPr>
                  <w:t xml:space="preserve">.  Published in </w:t>
                </w:r>
                <w:proofErr w:type="spellStart"/>
                <w:r w:rsidRPr="00025931">
                  <w:rPr>
                    <w:color w:val="5B9BD5" w:themeColor="accent1"/>
                    <w:sz w:val="20"/>
                    <w:szCs w:val="20"/>
                    <w:lang w:val="en-US"/>
                  </w:rPr>
                  <w:t>Zoia</w:t>
                </w:r>
                <w:proofErr w:type="spellEnd"/>
                <w:r w:rsidRPr="00025931">
                  <w:rPr>
                    <w:color w:val="5B9BD5" w:themeColor="accent1"/>
                    <w:sz w:val="20"/>
                    <w:szCs w:val="20"/>
                    <w:lang w:val="en-US"/>
                  </w:rPr>
                  <w:t xml:space="preserve"> </w:t>
                </w:r>
                <w:proofErr w:type="spellStart"/>
                <w:r w:rsidRPr="00025931">
                  <w:rPr>
                    <w:color w:val="5B9BD5" w:themeColor="accent1"/>
                    <w:sz w:val="20"/>
                    <w:szCs w:val="20"/>
                    <w:lang w:val="en-US"/>
                  </w:rPr>
                  <w:t>Punina</w:t>
                </w:r>
                <w:proofErr w:type="spellEnd"/>
                <w:r w:rsidRPr="00025931">
                  <w:rPr>
                    <w:color w:val="5B9BD5" w:themeColor="accent1"/>
                    <w:sz w:val="20"/>
                    <w:szCs w:val="20"/>
                    <w:lang w:val="en-US"/>
                  </w:rPr>
                  <w:t xml:space="preserve"> et al., </w:t>
                </w:r>
                <w:proofErr w:type="spellStart"/>
                <w:r w:rsidRPr="00025931">
                  <w:rPr>
                    <w:i/>
                    <w:color w:val="5B9BD5" w:themeColor="accent1"/>
                    <w:sz w:val="20"/>
                    <w:szCs w:val="20"/>
                    <w:lang w:val="en-US"/>
                  </w:rPr>
                  <w:t>Ritm</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i</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kul’tura</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tantsa</w:t>
                </w:r>
                <w:proofErr w:type="spellEnd"/>
                <w:r w:rsidRPr="00025931">
                  <w:rPr>
                    <w:color w:val="5B9BD5" w:themeColor="accent1"/>
                    <w:sz w:val="20"/>
                    <w:szCs w:val="20"/>
                    <w:lang w:val="en-US"/>
                  </w:rPr>
                  <w:t xml:space="preserve"> (</w:t>
                </w:r>
                <w:r w:rsidRPr="00025931">
                  <w:rPr>
                    <w:i/>
                    <w:color w:val="5B9BD5" w:themeColor="accent1"/>
                    <w:sz w:val="20"/>
                    <w:szCs w:val="20"/>
                    <w:lang w:val="en-US"/>
                  </w:rPr>
                  <w:t>The Rhythm and Culture of Dance</w:t>
                </w:r>
                <w:r w:rsidRPr="00025931">
                  <w:rPr>
                    <w:color w:val="5B9BD5" w:themeColor="accent1"/>
                    <w:sz w:val="20"/>
                    <w:szCs w:val="20"/>
                    <w:lang w:val="en-US"/>
                  </w:rPr>
                  <w:t xml:space="preserve">), Leningrad, </w:t>
                </w:r>
                <w:proofErr w:type="spellStart"/>
                <w:r w:rsidRPr="00025931">
                  <w:rPr>
                    <w:color w:val="5B9BD5" w:themeColor="accent1"/>
                    <w:sz w:val="20"/>
                    <w:szCs w:val="20"/>
                    <w:lang w:val="en-US"/>
                  </w:rPr>
                  <w:t>Akademiia</w:t>
                </w:r>
                <w:proofErr w:type="spellEnd"/>
                <w:r w:rsidRPr="00025931">
                  <w:rPr>
                    <w:color w:val="5B9BD5" w:themeColor="accent1"/>
                    <w:sz w:val="20"/>
                    <w:szCs w:val="20"/>
                    <w:lang w:val="en-US"/>
                  </w:rPr>
                  <w:t>, 1926, illustration for page 20.</w:t>
                </w:r>
              </w:p>
              <w:bookmarkEnd w:id="0"/>
              <w:p w14:paraId="574CFB80" w14:textId="77777777" w:rsidR="00025931" w:rsidRDefault="00025931" w:rsidP="000A6001">
                <w:pPr>
                  <w:widowControl w:val="0"/>
                </w:pPr>
              </w:p>
              <w:p w14:paraId="5ADDBDAA" w14:textId="3E46E7E5" w:rsidR="000A6001" w:rsidRDefault="000A6001" w:rsidP="000A6001">
                <w:pPr>
                  <w:widowControl w:val="0"/>
                </w:pPr>
                <w:r>
                  <w:t xml:space="preserve">In 1924, the </w:t>
                </w:r>
                <w:proofErr w:type="spellStart"/>
                <w:r>
                  <w:t>Mastfor</w:t>
                </w:r>
                <w:proofErr w:type="spellEnd"/>
                <w:r>
                  <w:t xml:space="preserve"> premises burned down, and the troupe was forced to disband. However, between 1925 and 1933, </w:t>
                </w:r>
                <w:proofErr w:type="spellStart"/>
                <w:r>
                  <w:t>Foregger</w:t>
                </w:r>
                <w:proofErr w:type="spellEnd"/>
                <w:r>
                  <w:t xml:space="preserve"> worked with the Blue Blouse </w:t>
                </w:r>
                <w:proofErr w:type="spellStart"/>
                <w:r>
                  <w:t>agitational</w:t>
                </w:r>
                <w:proofErr w:type="spellEnd"/>
                <w:r>
                  <w:t xml:space="preserve"> groups, supporting the democratic idea that the mass spectator should also b</w:t>
                </w:r>
                <w:r w:rsidR="00B244A5">
                  <w:t>e involved in the stage action.</w:t>
                </w:r>
                <w:r>
                  <w:t xml:space="preserve"> But with the growing hostility of the Soviet regime towards critical, satirical and </w:t>
                </w:r>
                <w:proofErr w:type="spellStart"/>
                <w:r>
                  <w:t>parodic</w:t>
                </w:r>
                <w:proofErr w:type="spellEnd"/>
                <w:r>
                  <w:t xml:space="preserve"> theatre, </w:t>
                </w:r>
                <w:proofErr w:type="spellStart"/>
                <w:r>
                  <w:t>Foregger</w:t>
                </w:r>
                <w:proofErr w:type="spellEnd"/>
                <w:r>
                  <w:t xml:space="preserve"> was compelled to return to</w:t>
                </w:r>
                <w:r w:rsidR="00B244A5">
                  <w:t xml:space="preserve"> more traditional stage forms. </w:t>
                </w:r>
                <w:r>
                  <w:t xml:space="preserve">Thus, apart from his collaboration on a 1926 production of Sergei Prokofiev’s </w:t>
                </w:r>
                <w:r>
                  <w:rPr>
                    <w:i/>
                  </w:rPr>
                  <w:t>Love for the Three Oranges</w:t>
                </w:r>
                <w:r>
                  <w:t xml:space="preserve">, he spent the last fifteen years of his life working in the opera and ballet theatres of Kharkov, Kiev, </w:t>
                </w:r>
                <w:proofErr w:type="spellStart"/>
                <w:r>
                  <w:t>Kuibishev</w:t>
                </w:r>
                <w:proofErr w:type="spellEnd"/>
                <w:r>
                  <w:t xml:space="preserve"> and other regional cities. </w:t>
                </w:r>
                <w:proofErr w:type="spellStart"/>
                <w:r>
                  <w:t>Foregger</w:t>
                </w:r>
                <w:proofErr w:type="spellEnd"/>
                <w:r>
                  <w:t xml:space="preserve"> died from tuberculosis in Moscow in 1939. </w:t>
                </w:r>
              </w:p>
              <w:p w14:paraId="07C20C56" w14:textId="77777777" w:rsidR="000A6001" w:rsidRDefault="000A6001" w:rsidP="000A6001">
                <w:pPr>
                  <w:widowControl w:val="0"/>
                </w:pPr>
              </w:p>
              <w:p w14:paraId="3A5FF019" w14:textId="77777777" w:rsidR="000A6001" w:rsidRPr="00EE7978" w:rsidRDefault="000A6001" w:rsidP="000A6001">
                <w:pPr>
                  <w:pStyle w:val="Heading1"/>
                  <w:outlineLvl w:val="0"/>
                </w:pPr>
                <w:r w:rsidRPr="00EE7978">
                  <w:lastRenderedPageBreak/>
                  <w:t>Selected List of Works</w:t>
                </w:r>
              </w:p>
              <w:p w14:paraId="0D8AB30C" w14:textId="77777777" w:rsidR="000A6001" w:rsidRPr="000335D2" w:rsidRDefault="000A6001" w:rsidP="000A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Good Attitude towards Horses</w:t>
                </w:r>
                <w:r w:rsidRPr="000335D2">
                  <w:rPr>
                    <w:szCs w:val="24"/>
                  </w:rPr>
                  <w:t xml:space="preserve"> (1921)</w:t>
                </w:r>
              </w:p>
              <w:p w14:paraId="1D037D2C" w14:textId="77777777" w:rsidR="000A6001" w:rsidRPr="000335D2" w:rsidRDefault="000A6001" w:rsidP="000A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Child Abductor</w:t>
                </w:r>
                <w:r w:rsidRPr="000335D2">
                  <w:rPr>
                    <w:szCs w:val="24"/>
                  </w:rPr>
                  <w:t xml:space="preserve"> (1922)</w:t>
                </w:r>
              </w:p>
              <w:p w14:paraId="29E5C219" w14:textId="77777777" w:rsidR="000A6001" w:rsidRPr="000335D2" w:rsidRDefault="000A6001" w:rsidP="000A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Secret of the Canary Islands</w:t>
                </w:r>
                <w:r w:rsidRPr="000335D2">
                  <w:rPr>
                    <w:szCs w:val="24"/>
                  </w:rPr>
                  <w:t xml:space="preserve"> (1923)</w:t>
                </w:r>
              </w:p>
              <w:p w14:paraId="6E540D00" w14:textId="77777777" w:rsidR="003F0D73" w:rsidRDefault="003F0D73" w:rsidP="00C27FAB"/>
            </w:tc>
          </w:sdtContent>
        </w:sdt>
      </w:tr>
      <w:tr w:rsidR="003235A7" w14:paraId="5CB8A91C" w14:textId="77777777" w:rsidTr="003235A7">
        <w:tc>
          <w:tcPr>
            <w:tcW w:w="9016" w:type="dxa"/>
          </w:tcPr>
          <w:p w14:paraId="3A28F6E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F06EEF83C35534586A75E569DF66151"/>
              </w:placeholder>
            </w:sdtPr>
            <w:sdtEndPr/>
            <w:sdtContent>
              <w:p w14:paraId="144191A4" w14:textId="77777777" w:rsidR="00B244A5" w:rsidRDefault="00B244A5" w:rsidP="00B244A5"/>
              <w:p w14:paraId="0297F734" w14:textId="551711E1" w:rsidR="00B244A5" w:rsidRDefault="00025931" w:rsidP="00B244A5">
                <w:sdt>
                  <w:sdtPr>
                    <w:id w:val="1227645621"/>
                    <w:citation/>
                  </w:sdtPr>
                  <w:sdtEndPr/>
                  <w:sdtContent>
                    <w:r w:rsidR="00B244A5">
                      <w:fldChar w:fldCharType="begin"/>
                    </w:r>
                    <w:r w:rsidR="00B244A5">
                      <w:rPr>
                        <w:lang w:val="en-US"/>
                      </w:rPr>
                      <w:instrText xml:space="preserve"> CITATION Che01 \l 1033 </w:instrText>
                    </w:r>
                    <w:r w:rsidR="00B244A5">
                      <w:fldChar w:fldCharType="separate"/>
                    </w:r>
                    <w:r w:rsidR="00B244A5">
                      <w:rPr>
                        <w:noProof/>
                        <w:lang w:val="en-US"/>
                      </w:rPr>
                      <w:t>(Chepalov)</w:t>
                    </w:r>
                    <w:r w:rsidR="00B244A5">
                      <w:fldChar w:fldCharType="end"/>
                    </w:r>
                  </w:sdtContent>
                </w:sdt>
              </w:p>
              <w:p w14:paraId="1CE6FA95" w14:textId="77777777" w:rsidR="00B244A5" w:rsidRDefault="00B244A5" w:rsidP="00B244A5"/>
              <w:p w14:paraId="614716BC" w14:textId="77777777" w:rsidR="00B244A5" w:rsidRDefault="00025931" w:rsidP="00B244A5">
                <w:sdt>
                  <w:sdtPr>
                    <w:id w:val="-613906369"/>
                    <w:citation/>
                  </w:sdtPr>
                  <w:sdtEndPr/>
                  <w:sdtContent>
                    <w:r w:rsidR="00B244A5">
                      <w:fldChar w:fldCharType="begin"/>
                    </w:r>
                    <w:r w:rsidR="00B244A5">
                      <w:rPr>
                        <w:lang w:val="en-US"/>
                      </w:rPr>
                      <w:instrText xml:space="preserve"> CITATION She96 \l 1033 </w:instrText>
                    </w:r>
                    <w:r w:rsidR="00B244A5">
                      <w:fldChar w:fldCharType="separate"/>
                    </w:r>
                    <w:r w:rsidR="00B244A5">
                      <w:rPr>
                        <w:noProof/>
                        <w:lang w:val="en-US"/>
                      </w:rPr>
                      <w:t>(Sherbakov)</w:t>
                    </w:r>
                    <w:r w:rsidR="00B244A5">
                      <w:fldChar w:fldCharType="end"/>
                    </w:r>
                  </w:sdtContent>
                </w:sdt>
              </w:p>
              <w:p w14:paraId="56923CE2" w14:textId="77777777" w:rsidR="00B244A5" w:rsidRDefault="00B244A5" w:rsidP="00B244A5"/>
              <w:p w14:paraId="50941A10" w14:textId="35281211" w:rsidR="003235A7" w:rsidRDefault="00025931" w:rsidP="00B244A5">
                <w:sdt>
                  <w:sdtPr>
                    <w:id w:val="312767240"/>
                    <w:citation/>
                  </w:sdtPr>
                  <w:sdtEndPr/>
                  <w:sdtContent>
                    <w:r w:rsidR="00B244A5">
                      <w:fldChar w:fldCharType="begin"/>
                    </w:r>
                    <w:r w:rsidR="00B244A5">
                      <w:rPr>
                        <w:lang w:val="en-US"/>
                      </w:rPr>
                      <w:instrText xml:space="preserve"> CITATION Sir11 \l 1033 </w:instrText>
                    </w:r>
                    <w:r w:rsidR="00B244A5">
                      <w:fldChar w:fldCharType="separate"/>
                    </w:r>
                    <w:r w:rsidR="00B244A5">
                      <w:rPr>
                        <w:noProof/>
                        <w:lang w:val="en-US"/>
                      </w:rPr>
                      <w:t>(Sirotkina)</w:t>
                    </w:r>
                    <w:r w:rsidR="00B244A5">
                      <w:fldChar w:fldCharType="end"/>
                    </w:r>
                  </w:sdtContent>
                </w:sdt>
              </w:p>
            </w:sdtContent>
          </w:sdt>
        </w:tc>
      </w:tr>
    </w:tbl>
    <w:p w14:paraId="333C741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97FF2" w14:textId="77777777" w:rsidR="001F4433" w:rsidRDefault="001F4433" w:rsidP="007A0D55">
      <w:pPr>
        <w:spacing w:after="0" w:line="240" w:lineRule="auto"/>
      </w:pPr>
      <w:r>
        <w:separator/>
      </w:r>
    </w:p>
  </w:endnote>
  <w:endnote w:type="continuationSeparator" w:id="0">
    <w:p w14:paraId="36C81180" w14:textId="77777777" w:rsidR="001F4433" w:rsidRDefault="001F44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E2C76" w14:textId="77777777" w:rsidR="001F4433" w:rsidRDefault="001F4433" w:rsidP="007A0D55">
      <w:pPr>
        <w:spacing w:after="0" w:line="240" w:lineRule="auto"/>
      </w:pPr>
      <w:r>
        <w:separator/>
      </w:r>
    </w:p>
  </w:footnote>
  <w:footnote w:type="continuationSeparator" w:id="0">
    <w:p w14:paraId="5F57A0F8" w14:textId="77777777" w:rsidR="001F4433" w:rsidRDefault="001F44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00A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B4BF5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433"/>
    <w:rsid w:val="00024537"/>
    <w:rsid w:val="00025931"/>
    <w:rsid w:val="00032559"/>
    <w:rsid w:val="00052040"/>
    <w:rsid w:val="000A6001"/>
    <w:rsid w:val="000B25AE"/>
    <w:rsid w:val="000B55AB"/>
    <w:rsid w:val="000D24DC"/>
    <w:rsid w:val="00101B2E"/>
    <w:rsid w:val="00116FA0"/>
    <w:rsid w:val="0015114C"/>
    <w:rsid w:val="001A21F3"/>
    <w:rsid w:val="001A2537"/>
    <w:rsid w:val="001A6A06"/>
    <w:rsid w:val="001F443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44A5"/>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6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4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4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4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4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741100D4298E469FC892CE6ECF7648"/>
        <w:category>
          <w:name w:val="General"/>
          <w:gallery w:val="placeholder"/>
        </w:category>
        <w:types>
          <w:type w:val="bbPlcHdr"/>
        </w:types>
        <w:behaviors>
          <w:behavior w:val="content"/>
        </w:behaviors>
        <w:guid w:val="{5ED5AA0F-3ECA-494A-9C27-DEC793E1BA85}"/>
      </w:docPartPr>
      <w:docPartBody>
        <w:p w:rsidR="00B94F7B" w:rsidRDefault="00B94F7B">
          <w:pPr>
            <w:pStyle w:val="E5741100D4298E469FC892CE6ECF7648"/>
          </w:pPr>
          <w:r w:rsidRPr="00CC586D">
            <w:rPr>
              <w:rStyle w:val="PlaceholderText"/>
              <w:b/>
              <w:color w:val="FFFFFF" w:themeColor="background1"/>
            </w:rPr>
            <w:t>[Salutation]</w:t>
          </w:r>
        </w:p>
      </w:docPartBody>
    </w:docPart>
    <w:docPart>
      <w:docPartPr>
        <w:name w:val="F259C3BDFA0F5F4995A95B6028652F1C"/>
        <w:category>
          <w:name w:val="General"/>
          <w:gallery w:val="placeholder"/>
        </w:category>
        <w:types>
          <w:type w:val="bbPlcHdr"/>
        </w:types>
        <w:behaviors>
          <w:behavior w:val="content"/>
        </w:behaviors>
        <w:guid w:val="{C89A4A0F-AFCA-8144-9CD7-224CFB1EC57C}"/>
      </w:docPartPr>
      <w:docPartBody>
        <w:p w:rsidR="00B94F7B" w:rsidRDefault="00B94F7B">
          <w:pPr>
            <w:pStyle w:val="F259C3BDFA0F5F4995A95B6028652F1C"/>
          </w:pPr>
          <w:r>
            <w:rPr>
              <w:rStyle w:val="PlaceholderText"/>
            </w:rPr>
            <w:t>[First name]</w:t>
          </w:r>
        </w:p>
      </w:docPartBody>
    </w:docPart>
    <w:docPart>
      <w:docPartPr>
        <w:name w:val="A81A5ED2C7F58D408A937F7F54E59B3C"/>
        <w:category>
          <w:name w:val="General"/>
          <w:gallery w:val="placeholder"/>
        </w:category>
        <w:types>
          <w:type w:val="bbPlcHdr"/>
        </w:types>
        <w:behaviors>
          <w:behavior w:val="content"/>
        </w:behaviors>
        <w:guid w:val="{3D03668B-9A51-5A49-8086-B4EC511323B5}"/>
      </w:docPartPr>
      <w:docPartBody>
        <w:p w:rsidR="00B94F7B" w:rsidRDefault="00B94F7B">
          <w:pPr>
            <w:pStyle w:val="A81A5ED2C7F58D408A937F7F54E59B3C"/>
          </w:pPr>
          <w:r>
            <w:rPr>
              <w:rStyle w:val="PlaceholderText"/>
            </w:rPr>
            <w:t>[Middle name]</w:t>
          </w:r>
        </w:p>
      </w:docPartBody>
    </w:docPart>
    <w:docPart>
      <w:docPartPr>
        <w:name w:val="11FF432F44B74C40AFD9D29B6ACA5DE1"/>
        <w:category>
          <w:name w:val="General"/>
          <w:gallery w:val="placeholder"/>
        </w:category>
        <w:types>
          <w:type w:val="bbPlcHdr"/>
        </w:types>
        <w:behaviors>
          <w:behavior w:val="content"/>
        </w:behaviors>
        <w:guid w:val="{1F7DD090-815F-0948-B0FC-2DD39A9BCD56}"/>
      </w:docPartPr>
      <w:docPartBody>
        <w:p w:rsidR="00B94F7B" w:rsidRDefault="00B94F7B">
          <w:pPr>
            <w:pStyle w:val="11FF432F44B74C40AFD9D29B6ACA5DE1"/>
          </w:pPr>
          <w:r>
            <w:rPr>
              <w:rStyle w:val="PlaceholderText"/>
            </w:rPr>
            <w:t>[Last name]</w:t>
          </w:r>
        </w:p>
      </w:docPartBody>
    </w:docPart>
    <w:docPart>
      <w:docPartPr>
        <w:name w:val="1B1FAF8927373C488A67DCCEA2C80AF2"/>
        <w:category>
          <w:name w:val="General"/>
          <w:gallery w:val="placeholder"/>
        </w:category>
        <w:types>
          <w:type w:val="bbPlcHdr"/>
        </w:types>
        <w:behaviors>
          <w:behavior w:val="content"/>
        </w:behaviors>
        <w:guid w:val="{FEB9B513-3A5C-4F4C-9C35-767A0DBF3BC9}"/>
      </w:docPartPr>
      <w:docPartBody>
        <w:p w:rsidR="00B94F7B" w:rsidRDefault="00B94F7B">
          <w:pPr>
            <w:pStyle w:val="1B1FAF8927373C488A67DCCEA2C80AF2"/>
          </w:pPr>
          <w:r>
            <w:rPr>
              <w:rStyle w:val="PlaceholderText"/>
            </w:rPr>
            <w:t>[Enter your biography]</w:t>
          </w:r>
        </w:p>
      </w:docPartBody>
    </w:docPart>
    <w:docPart>
      <w:docPartPr>
        <w:name w:val="9CC5CE90922CF941AFA533F58F592C21"/>
        <w:category>
          <w:name w:val="General"/>
          <w:gallery w:val="placeholder"/>
        </w:category>
        <w:types>
          <w:type w:val="bbPlcHdr"/>
        </w:types>
        <w:behaviors>
          <w:behavior w:val="content"/>
        </w:behaviors>
        <w:guid w:val="{E7B9CBC1-8A89-D542-AD9C-36BCC9AA91EC}"/>
      </w:docPartPr>
      <w:docPartBody>
        <w:p w:rsidR="00B94F7B" w:rsidRDefault="00B94F7B">
          <w:pPr>
            <w:pStyle w:val="9CC5CE90922CF941AFA533F58F592C21"/>
          </w:pPr>
          <w:r>
            <w:rPr>
              <w:rStyle w:val="PlaceholderText"/>
            </w:rPr>
            <w:t>[Enter the institution with which you are affiliated]</w:t>
          </w:r>
        </w:p>
      </w:docPartBody>
    </w:docPart>
    <w:docPart>
      <w:docPartPr>
        <w:name w:val="F4B49B2A592A5349A74B5DDCABCAF0D3"/>
        <w:category>
          <w:name w:val="General"/>
          <w:gallery w:val="placeholder"/>
        </w:category>
        <w:types>
          <w:type w:val="bbPlcHdr"/>
        </w:types>
        <w:behaviors>
          <w:behavior w:val="content"/>
        </w:behaviors>
        <w:guid w:val="{6E5B4479-C233-F64D-8845-37B7F7AAA262}"/>
      </w:docPartPr>
      <w:docPartBody>
        <w:p w:rsidR="00B94F7B" w:rsidRDefault="00B94F7B">
          <w:pPr>
            <w:pStyle w:val="F4B49B2A592A5349A74B5DDCABCAF0D3"/>
          </w:pPr>
          <w:r w:rsidRPr="00EF74F7">
            <w:rPr>
              <w:b/>
              <w:color w:val="808080" w:themeColor="background1" w:themeShade="80"/>
            </w:rPr>
            <w:t>[Enter the headword for your article]</w:t>
          </w:r>
        </w:p>
      </w:docPartBody>
    </w:docPart>
    <w:docPart>
      <w:docPartPr>
        <w:name w:val="72E3BF1F68FC12429A98A149E05E8789"/>
        <w:category>
          <w:name w:val="General"/>
          <w:gallery w:val="placeholder"/>
        </w:category>
        <w:types>
          <w:type w:val="bbPlcHdr"/>
        </w:types>
        <w:behaviors>
          <w:behavior w:val="content"/>
        </w:behaviors>
        <w:guid w:val="{FCEE66F9-D395-BD44-B957-1862EE190B0D}"/>
      </w:docPartPr>
      <w:docPartBody>
        <w:p w:rsidR="00B94F7B" w:rsidRDefault="00B94F7B">
          <w:pPr>
            <w:pStyle w:val="72E3BF1F68FC12429A98A149E05E87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0164D97D65174A917B6740AE840330"/>
        <w:category>
          <w:name w:val="General"/>
          <w:gallery w:val="placeholder"/>
        </w:category>
        <w:types>
          <w:type w:val="bbPlcHdr"/>
        </w:types>
        <w:behaviors>
          <w:behavior w:val="content"/>
        </w:behaviors>
        <w:guid w:val="{66344EF5-8DC9-2A4A-9DA6-18A1DF1EC901}"/>
      </w:docPartPr>
      <w:docPartBody>
        <w:p w:rsidR="00B94F7B" w:rsidRDefault="00B94F7B">
          <w:pPr>
            <w:pStyle w:val="F00164D97D65174A917B6740AE8403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404A452BF2B744ACBB4F8FA69FAABB"/>
        <w:category>
          <w:name w:val="General"/>
          <w:gallery w:val="placeholder"/>
        </w:category>
        <w:types>
          <w:type w:val="bbPlcHdr"/>
        </w:types>
        <w:behaviors>
          <w:behavior w:val="content"/>
        </w:behaviors>
        <w:guid w:val="{FAE56062-070F-4D46-AEC8-B7B385F31CF6}"/>
      </w:docPartPr>
      <w:docPartBody>
        <w:p w:rsidR="00B94F7B" w:rsidRDefault="00B94F7B">
          <w:pPr>
            <w:pStyle w:val="F5404A452BF2B744ACBB4F8FA69FAA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F06EEF83C35534586A75E569DF66151"/>
        <w:category>
          <w:name w:val="General"/>
          <w:gallery w:val="placeholder"/>
        </w:category>
        <w:types>
          <w:type w:val="bbPlcHdr"/>
        </w:types>
        <w:behaviors>
          <w:behavior w:val="content"/>
        </w:behaviors>
        <w:guid w:val="{B6973CAB-2662-5247-8087-895518B28AA1}"/>
      </w:docPartPr>
      <w:docPartBody>
        <w:p w:rsidR="00B94F7B" w:rsidRDefault="00B94F7B">
          <w:pPr>
            <w:pStyle w:val="3F06EEF83C35534586A75E569DF661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7B"/>
    <w:rsid w:val="00B94F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741100D4298E469FC892CE6ECF7648">
    <w:name w:val="E5741100D4298E469FC892CE6ECF7648"/>
  </w:style>
  <w:style w:type="paragraph" w:customStyle="1" w:styleId="F259C3BDFA0F5F4995A95B6028652F1C">
    <w:name w:val="F259C3BDFA0F5F4995A95B6028652F1C"/>
  </w:style>
  <w:style w:type="paragraph" w:customStyle="1" w:styleId="A81A5ED2C7F58D408A937F7F54E59B3C">
    <w:name w:val="A81A5ED2C7F58D408A937F7F54E59B3C"/>
  </w:style>
  <w:style w:type="paragraph" w:customStyle="1" w:styleId="11FF432F44B74C40AFD9D29B6ACA5DE1">
    <w:name w:val="11FF432F44B74C40AFD9D29B6ACA5DE1"/>
  </w:style>
  <w:style w:type="paragraph" w:customStyle="1" w:styleId="1B1FAF8927373C488A67DCCEA2C80AF2">
    <w:name w:val="1B1FAF8927373C488A67DCCEA2C80AF2"/>
  </w:style>
  <w:style w:type="paragraph" w:customStyle="1" w:styleId="9CC5CE90922CF941AFA533F58F592C21">
    <w:name w:val="9CC5CE90922CF941AFA533F58F592C21"/>
  </w:style>
  <w:style w:type="paragraph" w:customStyle="1" w:styleId="F4B49B2A592A5349A74B5DDCABCAF0D3">
    <w:name w:val="F4B49B2A592A5349A74B5DDCABCAF0D3"/>
  </w:style>
  <w:style w:type="paragraph" w:customStyle="1" w:styleId="72E3BF1F68FC12429A98A149E05E8789">
    <w:name w:val="72E3BF1F68FC12429A98A149E05E8789"/>
  </w:style>
  <w:style w:type="paragraph" w:customStyle="1" w:styleId="F00164D97D65174A917B6740AE840330">
    <w:name w:val="F00164D97D65174A917B6740AE840330"/>
  </w:style>
  <w:style w:type="paragraph" w:customStyle="1" w:styleId="F5404A452BF2B744ACBB4F8FA69FAABB">
    <w:name w:val="F5404A452BF2B744ACBB4F8FA69FAABB"/>
  </w:style>
  <w:style w:type="paragraph" w:customStyle="1" w:styleId="3F06EEF83C35534586A75E569DF66151">
    <w:name w:val="3F06EEF83C35534586A75E569DF661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741100D4298E469FC892CE6ECF7648">
    <w:name w:val="E5741100D4298E469FC892CE6ECF7648"/>
  </w:style>
  <w:style w:type="paragraph" w:customStyle="1" w:styleId="F259C3BDFA0F5F4995A95B6028652F1C">
    <w:name w:val="F259C3BDFA0F5F4995A95B6028652F1C"/>
  </w:style>
  <w:style w:type="paragraph" w:customStyle="1" w:styleId="A81A5ED2C7F58D408A937F7F54E59B3C">
    <w:name w:val="A81A5ED2C7F58D408A937F7F54E59B3C"/>
  </w:style>
  <w:style w:type="paragraph" w:customStyle="1" w:styleId="11FF432F44B74C40AFD9D29B6ACA5DE1">
    <w:name w:val="11FF432F44B74C40AFD9D29B6ACA5DE1"/>
  </w:style>
  <w:style w:type="paragraph" w:customStyle="1" w:styleId="1B1FAF8927373C488A67DCCEA2C80AF2">
    <w:name w:val="1B1FAF8927373C488A67DCCEA2C80AF2"/>
  </w:style>
  <w:style w:type="paragraph" w:customStyle="1" w:styleId="9CC5CE90922CF941AFA533F58F592C21">
    <w:name w:val="9CC5CE90922CF941AFA533F58F592C21"/>
  </w:style>
  <w:style w:type="paragraph" w:customStyle="1" w:styleId="F4B49B2A592A5349A74B5DDCABCAF0D3">
    <w:name w:val="F4B49B2A592A5349A74B5DDCABCAF0D3"/>
  </w:style>
  <w:style w:type="paragraph" w:customStyle="1" w:styleId="72E3BF1F68FC12429A98A149E05E8789">
    <w:name w:val="72E3BF1F68FC12429A98A149E05E8789"/>
  </w:style>
  <w:style w:type="paragraph" w:customStyle="1" w:styleId="F00164D97D65174A917B6740AE840330">
    <w:name w:val="F00164D97D65174A917B6740AE840330"/>
  </w:style>
  <w:style w:type="paragraph" w:customStyle="1" w:styleId="F5404A452BF2B744ACBB4F8FA69FAABB">
    <w:name w:val="F5404A452BF2B744ACBB4F8FA69FAABB"/>
  </w:style>
  <w:style w:type="paragraph" w:customStyle="1" w:styleId="3F06EEF83C35534586A75E569DF66151">
    <w:name w:val="3F06EEF83C35534586A75E569DF661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She96</b:Tag>
    <b:SourceType>JournalArticle</b:SourceType>
    <b:Guid>{CEB533EA-A8DC-5542-8C20-F33C626760AD}</b:Guid>
    <b:Author>
      <b:Author>
        <b:NameList>
          <b:Person>
            <b:Last>Sherbakov</b:Last>
            <b:First>V.</b:First>
          </b:Person>
        </b:NameList>
      </b:Author>
    </b:Author>
    <b:Title>‘Teatral’nye manifesty Nikolaia Foreggera’ [‘Theatre manifestos of Nikolai Foregger]</b:Title>
    <b:Year>1996</b:Year>
    <b:Comments>Foregger’s major theatrical manifestos plus commentary.</b:Comments>
    <b:JournalName>Mnemozina. Dokumenty i fakty russkogo teatra XX veka [Mnemozina. Documents and Facts of the Twentieth-Century Russian Theatre]</b:JournalName>
    <b:Volume>I</b:Volume>
    <b:Pages>45-79</b:Pages>
    <b:RefOrder>2</b:RefOrder>
  </b:Source>
  <b:Source>
    <b:Tag>Sir11</b:Tag>
    <b:SourceType>BookSection</b:SourceType>
    <b:Guid>{86747E6B-F638-8C4E-A066-CE37A818D93E}</b:Guid>
    <b:Author>
      <b:Author>
        <b:NameList>
          <b:Person>
            <b:Last>Sirotkina</b:Last>
            <b:First>I.</b:First>
          </b:Person>
        </b:NameList>
      </b:Author>
      <b:Editor>
        <b:NameList>
          <b:Person>
            <b:Last>I.</b:Last>
            <b:First>Sirotkina</b:First>
          </b:Person>
        </b:NameList>
      </b:Editor>
    </b:Author>
    <b:Title> ‘Tantsy mashin’ [‘Machine Dances’]</b:Title>
    <b:Publisher>Novoe literaturnoe obozrenie</b:Publisher>
    <b:City>Moscow</b:City>
    <b:Year>2011</b:Year>
    <b:Pages>102-14</b:Pages>
    <b:Comments>An analysis of Foregger’s machine dances.</b:Comments>
    <b:BookTitle>Svobodnoe dvizhenie i plasticheskii tanets v Rossii [Free Movement and Plastic Dance in Russia]</b:BookTitle>
    <b:CountryRegion>Russia</b:CountryRegion>
    <b:RefOrder>3</b:RefOrder>
  </b:Source>
  <b:Source>
    <b:Tag>Che01</b:Tag>
    <b:SourceType>Book</b:SourceType>
    <b:Guid>{5EAA6A0B-1E56-964C-9167-26FA335CABEE}</b:Guid>
    <b:Author>
      <b:Author>
        <b:NameList>
          <b:Person>
            <b:Last>Chepalov</b:Last>
            <b:First>А.</b:First>
          </b:Person>
        </b:NameList>
      </b:Author>
    </b:Author>
    <b:Title>Sud’ba peresmeshnika ili Novye stranstviia Frakassa [The Destiny of a Banterer or New Peregrinations of Fracassa]</b:Title>
    <b:City>Kharkov</b:City>
    <b:CountryRegion>Russia</b:CountryRegion>
    <b:Publisher>AVEK</b:Publisher>
    <b:Year>2001</b:Year>
    <b:Comments>A fundamental essay on Foregger’s life and art.</b:Comments>
    <b:RefOrder>1</b:RefOrder>
  </b:Source>
</b:Sources>
</file>

<file path=customXml/itemProps1.xml><?xml version="1.0" encoding="utf-8"?>
<ds:datastoreItem xmlns:ds="http://schemas.openxmlformats.org/officeDocument/2006/customXml" ds:itemID="{9BF8DF0E-F960-FB46-A975-12499DAA1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1041</Words>
  <Characters>5936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5</cp:revision>
  <dcterms:created xsi:type="dcterms:W3CDTF">2015-01-22T18:52:00Z</dcterms:created>
  <dcterms:modified xsi:type="dcterms:W3CDTF">2015-01-22T19:16:00Z</dcterms:modified>
</cp:coreProperties>
</file>