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229B48" w14:textId="77777777" w:rsidTr="00922950">
        <w:tc>
          <w:tcPr>
            <w:tcW w:w="491" w:type="dxa"/>
            <w:vMerge w:val="restart"/>
            <w:shd w:val="clear" w:color="auto" w:fill="A6A6A6" w:themeFill="background1" w:themeFillShade="A6"/>
            <w:textDirection w:val="btLr"/>
          </w:tcPr>
          <w:p w14:paraId="4CEB23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7752D328E7D342ADCB2F0CF9D62A7B"/>
            </w:placeholder>
            <w:showingPlcHdr/>
            <w:dropDownList>
              <w:listItem w:displayText="Dr." w:value="Dr."/>
              <w:listItem w:displayText="Prof." w:value="Prof."/>
            </w:dropDownList>
          </w:sdtPr>
          <w:sdtContent>
            <w:tc>
              <w:tcPr>
                <w:tcW w:w="1259" w:type="dxa"/>
              </w:tcPr>
              <w:p w14:paraId="73C64B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B9D249A0F4264A92ABE11797FE3E2C"/>
            </w:placeholder>
            <w:text/>
          </w:sdtPr>
          <w:sdtContent>
            <w:tc>
              <w:tcPr>
                <w:tcW w:w="2073" w:type="dxa"/>
              </w:tcPr>
              <w:p w14:paraId="19587CEE" w14:textId="77777777" w:rsidR="00B574C9" w:rsidRDefault="006C1806" w:rsidP="006C1806">
                <w:r>
                  <w:t>Kitty</w:t>
                </w:r>
              </w:p>
            </w:tc>
          </w:sdtContent>
        </w:sdt>
        <w:sdt>
          <w:sdtPr>
            <w:alias w:val="Middle name"/>
            <w:tag w:val="authorMiddleName"/>
            <w:id w:val="-2076034781"/>
            <w:placeholder>
              <w:docPart w:val="F33DB5015F725942B0D9DB1D3A695998"/>
            </w:placeholder>
            <w:showingPlcHdr/>
            <w:text/>
          </w:sdtPr>
          <w:sdtContent>
            <w:tc>
              <w:tcPr>
                <w:tcW w:w="2551" w:type="dxa"/>
              </w:tcPr>
              <w:p w14:paraId="72BD79D2" w14:textId="77777777" w:rsidR="00B574C9" w:rsidRDefault="00B574C9" w:rsidP="00922950">
                <w:r>
                  <w:rPr>
                    <w:rStyle w:val="PlaceholderText"/>
                  </w:rPr>
                  <w:t>[Middle name]</w:t>
                </w:r>
              </w:p>
            </w:tc>
          </w:sdtContent>
        </w:sdt>
        <w:sdt>
          <w:sdtPr>
            <w:alias w:val="Last name"/>
            <w:tag w:val="authorLastName"/>
            <w:id w:val="-1088529830"/>
            <w:placeholder>
              <w:docPart w:val="E22D3D8FCCA4CB46BD2A97DD2E794318"/>
            </w:placeholder>
            <w:text/>
          </w:sdtPr>
          <w:sdtContent>
            <w:tc>
              <w:tcPr>
                <w:tcW w:w="2642" w:type="dxa"/>
              </w:tcPr>
              <w:p w14:paraId="69F75271" w14:textId="77777777" w:rsidR="00B574C9" w:rsidRDefault="006C1806" w:rsidP="006C1806">
                <w:r>
                  <w:t>Hudson</w:t>
                </w:r>
              </w:p>
            </w:tc>
          </w:sdtContent>
        </w:sdt>
      </w:tr>
      <w:tr w:rsidR="00B574C9" w14:paraId="1CEB50C4" w14:textId="77777777" w:rsidTr="001A6A06">
        <w:trPr>
          <w:trHeight w:val="986"/>
        </w:trPr>
        <w:tc>
          <w:tcPr>
            <w:tcW w:w="491" w:type="dxa"/>
            <w:vMerge/>
            <w:shd w:val="clear" w:color="auto" w:fill="A6A6A6" w:themeFill="background1" w:themeFillShade="A6"/>
          </w:tcPr>
          <w:p w14:paraId="5AABF804" w14:textId="77777777" w:rsidR="00B574C9" w:rsidRPr="001A6A06" w:rsidRDefault="00B574C9" w:rsidP="00CF1542">
            <w:pPr>
              <w:jc w:val="center"/>
              <w:rPr>
                <w:b/>
                <w:color w:val="FFFFFF" w:themeColor="background1"/>
              </w:rPr>
            </w:pPr>
          </w:p>
        </w:tc>
        <w:sdt>
          <w:sdtPr>
            <w:alias w:val="Biography"/>
            <w:tag w:val="authorBiography"/>
            <w:id w:val="938807824"/>
            <w:placeholder>
              <w:docPart w:val="3677CC02B6A3B64C817946C7FB219C4F"/>
            </w:placeholder>
            <w:showingPlcHdr/>
          </w:sdtPr>
          <w:sdtContent>
            <w:tc>
              <w:tcPr>
                <w:tcW w:w="8525" w:type="dxa"/>
                <w:gridSpan w:val="4"/>
              </w:tcPr>
              <w:p w14:paraId="125689A6" w14:textId="77777777" w:rsidR="00B574C9" w:rsidRDefault="00B574C9" w:rsidP="00922950">
                <w:r>
                  <w:rPr>
                    <w:rStyle w:val="PlaceholderText"/>
                  </w:rPr>
                  <w:t>[Enter your biography]</w:t>
                </w:r>
              </w:p>
            </w:tc>
          </w:sdtContent>
        </w:sdt>
      </w:tr>
      <w:tr w:rsidR="00B574C9" w14:paraId="7014B1CF" w14:textId="77777777" w:rsidTr="001A6A06">
        <w:trPr>
          <w:trHeight w:val="986"/>
        </w:trPr>
        <w:tc>
          <w:tcPr>
            <w:tcW w:w="491" w:type="dxa"/>
            <w:vMerge/>
            <w:shd w:val="clear" w:color="auto" w:fill="A6A6A6" w:themeFill="background1" w:themeFillShade="A6"/>
          </w:tcPr>
          <w:p w14:paraId="0A86302B" w14:textId="77777777" w:rsidR="00B574C9" w:rsidRPr="001A6A06" w:rsidRDefault="00B574C9" w:rsidP="00CF1542">
            <w:pPr>
              <w:jc w:val="center"/>
              <w:rPr>
                <w:b/>
                <w:color w:val="FFFFFF" w:themeColor="background1"/>
              </w:rPr>
            </w:pPr>
          </w:p>
        </w:tc>
        <w:sdt>
          <w:sdtPr>
            <w:alias w:val="Affiliation"/>
            <w:tag w:val="affiliation"/>
            <w:id w:val="2012937915"/>
            <w:placeholder>
              <w:docPart w:val="CD4EF89A752F4F47B23ACDFF0E7AF785"/>
            </w:placeholder>
            <w:showingPlcHdr/>
            <w:text/>
          </w:sdtPr>
          <w:sdtContent>
            <w:tc>
              <w:tcPr>
                <w:tcW w:w="8525" w:type="dxa"/>
                <w:gridSpan w:val="4"/>
              </w:tcPr>
              <w:p w14:paraId="58F2A79A" w14:textId="77777777" w:rsidR="00B574C9" w:rsidRDefault="00B574C9" w:rsidP="00B574C9">
                <w:r w:rsidRPr="006C1806">
                  <w:rPr>
                    <w:rStyle w:val="PlaceholderText"/>
                    <w:highlight w:val="yellow"/>
                  </w:rPr>
                  <w:t>[Enter the institution with which you are affiliated]</w:t>
                </w:r>
              </w:p>
            </w:tc>
          </w:sdtContent>
        </w:sdt>
      </w:tr>
    </w:tbl>
    <w:p w14:paraId="64F63D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2CE340" w14:textId="77777777" w:rsidTr="00244BB0">
        <w:tc>
          <w:tcPr>
            <w:tcW w:w="9016" w:type="dxa"/>
            <w:shd w:val="clear" w:color="auto" w:fill="A6A6A6" w:themeFill="background1" w:themeFillShade="A6"/>
            <w:tcMar>
              <w:top w:w="113" w:type="dxa"/>
              <w:bottom w:w="113" w:type="dxa"/>
            </w:tcMar>
          </w:tcPr>
          <w:p w14:paraId="55A20F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AA4DD7" w14:textId="77777777" w:rsidTr="003F0D73">
        <w:sdt>
          <w:sdtPr>
            <w:rPr>
              <w:b/>
            </w:rPr>
            <w:alias w:val="Article headword"/>
            <w:tag w:val="articleHeadword"/>
            <w:id w:val="-361440020"/>
            <w:placeholder>
              <w:docPart w:val="4BD48BF730F7D34DB4B298386F90FA13"/>
            </w:placeholder>
            <w:text/>
          </w:sdtPr>
          <w:sdtContent>
            <w:tc>
              <w:tcPr>
                <w:tcW w:w="9016" w:type="dxa"/>
                <w:tcMar>
                  <w:top w:w="113" w:type="dxa"/>
                  <w:bottom w:w="113" w:type="dxa"/>
                </w:tcMar>
              </w:tcPr>
              <w:p w14:paraId="6616E70A" w14:textId="77777777" w:rsidR="003F0D73" w:rsidRPr="00FB589A" w:rsidRDefault="006C1806" w:rsidP="006C1806">
                <w:r w:rsidRPr="006C1806">
                  <w:rPr>
                    <w:b/>
                  </w:rPr>
                  <w:t>Wadsworth, Edward Alexander (1889-1949)</w:t>
                </w:r>
              </w:p>
            </w:tc>
          </w:sdtContent>
        </w:sdt>
      </w:tr>
      <w:tr w:rsidR="00464699" w14:paraId="6ABA5935" w14:textId="77777777" w:rsidTr="00B8619B">
        <w:sdt>
          <w:sdtPr>
            <w:alias w:val="Variant headwords"/>
            <w:tag w:val="variantHeadwords"/>
            <w:id w:val="173464402"/>
            <w:placeholder>
              <w:docPart w:val="97EA90BAE99865409C1FA602EF13CE62"/>
            </w:placeholder>
            <w:showingPlcHdr/>
          </w:sdtPr>
          <w:sdtContent>
            <w:tc>
              <w:tcPr>
                <w:tcW w:w="9016" w:type="dxa"/>
                <w:tcMar>
                  <w:top w:w="113" w:type="dxa"/>
                  <w:bottom w:w="113" w:type="dxa"/>
                </w:tcMar>
              </w:tcPr>
              <w:p w14:paraId="7B78F7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11CD59" w14:textId="77777777" w:rsidTr="003F0D73">
        <w:sdt>
          <w:sdtPr>
            <w:alias w:val="Abstract"/>
            <w:tag w:val="abstract"/>
            <w:id w:val="-635871867"/>
            <w:placeholder>
              <w:docPart w:val="72909DE6B29F81459B9F9EB3EB8407D3"/>
            </w:placeholder>
          </w:sdtPr>
          <w:sdtContent>
            <w:tc>
              <w:tcPr>
                <w:tcW w:w="9016" w:type="dxa"/>
                <w:tcMar>
                  <w:top w:w="113" w:type="dxa"/>
                  <w:bottom w:w="113" w:type="dxa"/>
                </w:tcMar>
              </w:tcPr>
              <w:p w14:paraId="09FD4376" w14:textId="77777777" w:rsidR="00E85A05" w:rsidRDefault="007771A0" w:rsidP="00E85A05">
                <w:r>
                  <w:t xml:space="preserve">Edward Wadsworth played an important role alongside Wyndham Lewis in the short-lived avant-garde movement of </w:t>
                </w:r>
                <w:proofErr w:type="spellStart"/>
                <w:r>
                  <w:t>Vorticism</w:t>
                </w:r>
                <w:proofErr w:type="spellEnd"/>
                <w:r>
                  <w:t xml:space="preserve"> in 1913-14. He continued to work in the abstracted, geometric style associated with the movement throughout the First World War, though very little work of this period remains other than his woodcuts. After returning to England from active service in 1917, Wadsworth worked on the camouflage of shipping, known as ‘dazzle painting’, and produced a large canvas entitled </w:t>
                </w:r>
                <w:r w:rsidRPr="00622445">
                  <w:rPr>
                    <w:i/>
                  </w:rPr>
                  <w:t xml:space="preserve">Dazzle Ships in </w:t>
                </w:r>
                <w:proofErr w:type="spellStart"/>
                <w:r w:rsidRPr="00622445">
                  <w:rPr>
                    <w:i/>
                  </w:rPr>
                  <w:t>Drydock</w:t>
                </w:r>
                <w:proofErr w:type="spellEnd"/>
                <w:r>
                  <w:rPr>
                    <w:i/>
                  </w:rPr>
                  <w:t xml:space="preserve"> at Liverpool</w:t>
                </w:r>
                <w:r>
                  <w:t xml:space="preserve"> (1919). The 1920s saw Wadsworth turn to the theme for which he is best known: the precise and realistic harbour scenes and maritime still </w:t>
                </w:r>
                <w:proofErr w:type="spellStart"/>
                <w:r>
                  <w:t>lifes</w:t>
                </w:r>
                <w:proofErr w:type="spellEnd"/>
                <w:r>
                  <w:t xml:space="preserve">, largely painted in tempera. This highly individual style was often dubbed ‘surrealist’ though Wadsworth did not encourage this association. His compositions became progressively more abstract in the early 1930s and, in 1933, Wadsworth joined the English abstract group ‘Unit One’; however, the following year he abruptly returned to his familiar marine paintings. Large-scale commissions included paintings for the smoke rooms of the Cunard ship </w:t>
                </w:r>
                <w:r w:rsidRPr="00BC7477">
                  <w:rPr>
                    <w:i/>
                  </w:rPr>
                  <w:t>Queen Mary</w:t>
                </w:r>
                <w:r>
                  <w:t xml:space="preserve"> and, during the 1939-45 war, he produced advertising images for ICI.  After 1945 his work tended once again towards the abstract, though always maintaining a link with earlier natural motifs and geometric forms.</w:t>
                </w:r>
              </w:p>
            </w:tc>
          </w:sdtContent>
        </w:sdt>
      </w:tr>
      <w:tr w:rsidR="003F0D73" w14:paraId="708CE1B4" w14:textId="77777777" w:rsidTr="003F0D73">
        <w:sdt>
          <w:sdtPr>
            <w:alias w:val="Article text"/>
            <w:tag w:val="articleText"/>
            <w:id w:val="634067588"/>
            <w:placeholder>
              <w:docPart w:val="8E6DA5DD2D31784F8C057D331B88AAB6"/>
            </w:placeholder>
          </w:sdtPr>
          <w:sdtContent>
            <w:tc>
              <w:tcPr>
                <w:tcW w:w="9016" w:type="dxa"/>
                <w:tcMar>
                  <w:top w:w="113" w:type="dxa"/>
                  <w:bottom w:w="113" w:type="dxa"/>
                </w:tcMar>
              </w:tcPr>
              <w:p w14:paraId="49FFB41C" w14:textId="6C9787C1" w:rsidR="006C1806" w:rsidRDefault="006C1806" w:rsidP="007771A0">
                <w:r>
                  <w:t xml:space="preserve">Edward Wadsworth played an important role alongside Wyndham Lewis in the </w:t>
                </w:r>
                <w:r w:rsidR="007771A0">
                  <w:t xml:space="preserve">short-lived </w:t>
                </w:r>
                <w:r>
                  <w:t xml:space="preserve">avant-garde movement </w:t>
                </w:r>
                <w:r w:rsidR="007771A0">
                  <w:t xml:space="preserve">of </w:t>
                </w:r>
                <w:proofErr w:type="spellStart"/>
                <w:r w:rsidR="007771A0">
                  <w:t>Vorticism</w:t>
                </w:r>
                <w:proofErr w:type="spellEnd"/>
                <w:r w:rsidR="007771A0">
                  <w:t xml:space="preserve"> </w:t>
                </w:r>
                <w:r>
                  <w:t>in 1913-14</w:t>
                </w:r>
                <w:r w:rsidR="007771A0">
                  <w:t>.</w:t>
                </w:r>
                <w:r>
                  <w:t xml:space="preserve"> He continued to work in the abstracted, geometric style associated with the movement throughout the First World War, though very little work of this period re</w:t>
                </w:r>
                <w:r w:rsidR="007771A0">
                  <w:t xml:space="preserve">mains other than his woodcuts. </w:t>
                </w:r>
                <w:r>
                  <w:t xml:space="preserve">After returning to England from active service in 1917, Wadsworth worked on the camouflage of shipping, known as ‘dazzle painting’, and produced a large canvas entitled </w:t>
                </w:r>
                <w:r w:rsidRPr="00622445">
                  <w:rPr>
                    <w:i/>
                  </w:rPr>
                  <w:t xml:space="preserve">Dazzle Ships in </w:t>
                </w:r>
                <w:proofErr w:type="spellStart"/>
                <w:r w:rsidRPr="00622445">
                  <w:rPr>
                    <w:i/>
                  </w:rPr>
                  <w:t>Drydock</w:t>
                </w:r>
                <w:proofErr w:type="spellEnd"/>
                <w:r>
                  <w:rPr>
                    <w:i/>
                  </w:rPr>
                  <w:t xml:space="preserve"> at Liverpool</w:t>
                </w:r>
                <w:r w:rsidR="007771A0">
                  <w:t xml:space="preserve"> (1919). </w:t>
                </w:r>
                <w:r>
                  <w:t xml:space="preserve">The 1920s saw Wadsworth turn to the theme for which he is best known: the precise and realistic harbour scenes and maritime still </w:t>
                </w:r>
                <w:proofErr w:type="spellStart"/>
                <w:r>
                  <w:t>lifes</w:t>
                </w:r>
                <w:proofErr w:type="spellEnd"/>
                <w:r>
                  <w:t>, largely painted in tempera</w:t>
                </w:r>
                <w:r w:rsidR="007771A0">
                  <w:t xml:space="preserve">. </w:t>
                </w:r>
                <w:r>
                  <w:t>This highly individual style was often dubbed ‘surrealist’ though Wadsworth did n</w:t>
                </w:r>
                <w:r w:rsidR="007771A0">
                  <w:t xml:space="preserve">ot encourage this association. </w:t>
                </w:r>
                <w:r>
                  <w:t xml:space="preserve">His compositions became progressively more abstract in the early 1930s and, in 1933, Wadsworth joined the English abstract group ‘Unit One’; however, the following year he abruptly returned to </w:t>
                </w:r>
                <w:r w:rsidR="007771A0">
                  <w:t xml:space="preserve">his familiar marine paintings. </w:t>
                </w:r>
                <w:r>
                  <w:t xml:space="preserve">Large-scale commissions included paintings for the smoke rooms of the Cunard ship </w:t>
                </w:r>
                <w:r w:rsidRPr="00BC7477">
                  <w:rPr>
                    <w:i/>
                  </w:rPr>
                  <w:t>Queen Mary</w:t>
                </w:r>
                <w:r>
                  <w:t xml:space="preserve"> and, during the 1939-45 war, he produced advertising images for ICI.  After 1945 his work tended once again towards the abstract, though always maintaining a link with earlier natural motifs and geometric forms.</w:t>
                </w:r>
              </w:p>
              <w:p w14:paraId="71AD7BC6" w14:textId="77777777" w:rsidR="007771A0" w:rsidRDefault="007771A0" w:rsidP="007771A0"/>
              <w:p w14:paraId="1951C149" w14:textId="0FB5DEE5" w:rsidR="009A3269" w:rsidRDefault="009A3269" w:rsidP="007771A0">
                <w:r>
                  <w:t xml:space="preserve">Fig: </w:t>
                </w:r>
              </w:p>
              <w:p w14:paraId="5B3BE2D8" w14:textId="7493FC9A" w:rsidR="009A3269" w:rsidRPr="009A3269" w:rsidRDefault="009A3269" w:rsidP="009A3269">
                <w:pPr>
                  <w:rPr>
                    <w:color w:val="5B9BD5" w:themeColor="accent1"/>
                    <w:sz w:val="20"/>
                    <w:szCs w:val="20"/>
                  </w:rPr>
                </w:pPr>
                <w:r w:rsidRPr="009A3269">
                  <w:rPr>
                    <w:color w:val="5B9BD5" w:themeColor="accent1"/>
                    <w:sz w:val="20"/>
                    <w:szCs w:val="20"/>
                  </w:rPr>
                  <w:t xml:space="preserve">Wadsworth, </w:t>
                </w:r>
                <w:r w:rsidRPr="009A3269">
                  <w:rPr>
                    <w:color w:val="5B9BD5" w:themeColor="accent1"/>
                    <w:sz w:val="20"/>
                    <w:szCs w:val="20"/>
                  </w:rPr>
                  <w:t xml:space="preserve">‘Dazzle Ships in </w:t>
                </w:r>
                <w:proofErr w:type="spellStart"/>
                <w:r w:rsidRPr="009A3269">
                  <w:rPr>
                    <w:color w:val="5B9BD5" w:themeColor="accent1"/>
                    <w:sz w:val="20"/>
                    <w:szCs w:val="20"/>
                  </w:rPr>
                  <w:t>Drydock</w:t>
                </w:r>
                <w:proofErr w:type="spellEnd"/>
                <w:r w:rsidRPr="009A3269">
                  <w:rPr>
                    <w:color w:val="5B9BD5" w:themeColor="accent1"/>
                    <w:sz w:val="20"/>
                    <w:szCs w:val="20"/>
                  </w:rPr>
                  <w:t xml:space="preserve"> at Liverpool’ (1919), oil on canvas, 304.8 x 243.8cm, Ottawa: National Gallery of Canada (</w:t>
                </w:r>
                <w:hyperlink r:id="rId9" w:history="1">
                  <w:r w:rsidRPr="009A3269">
                    <w:rPr>
                      <w:rStyle w:val="Hyperlink"/>
                      <w:color w:val="5B9BD5" w:themeColor="accent1"/>
                      <w:sz w:val="20"/>
                      <w:szCs w:val="20"/>
                    </w:rPr>
                    <w:t>http://www.gallery.ca/en/see/collections/artwork.php?mkey=5487</w:t>
                  </w:r>
                </w:hyperlink>
                <w:proofErr w:type="gramStart"/>
                <w:r w:rsidRPr="009A3269">
                  <w:rPr>
                    <w:color w:val="5B9BD5" w:themeColor="accent1"/>
                    <w:sz w:val="20"/>
                    <w:szCs w:val="20"/>
                  </w:rPr>
                  <w:t xml:space="preserve"> )</w:t>
                </w:r>
                <w:proofErr w:type="gramEnd"/>
                <w:r w:rsidRPr="009A3269">
                  <w:rPr>
                    <w:color w:val="5B9BD5" w:themeColor="accent1"/>
                    <w:sz w:val="20"/>
                    <w:szCs w:val="20"/>
                  </w:rPr>
                  <w:t xml:space="preserve"> – there is an online </w:t>
                </w:r>
                <w:r w:rsidRPr="009A3269">
                  <w:rPr>
                    <w:color w:val="5B9BD5" w:themeColor="accent1"/>
                    <w:sz w:val="20"/>
                    <w:szCs w:val="20"/>
                  </w:rPr>
                  <w:lastRenderedPageBreak/>
                  <w:t xml:space="preserve">order form for images, or contact: </w:t>
                </w:r>
                <w:hyperlink r:id="rId10" w:history="1">
                  <w:r w:rsidRPr="009A3269">
                    <w:rPr>
                      <w:rStyle w:val="Hyperlink"/>
                      <w:color w:val="5B9BD5" w:themeColor="accent1"/>
                      <w:sz w:val="20"/>
                      <w:szCs w:val="20"/>
                    </w:rPr>
                    <w:t>reproductions@gallery.ca</w:t>
                  </w:r>
                </w:hyperlink>
                <w:r w:rsidRPr="009A3269">
                  <w:rPr>
                    <w:color w:val="5B9BD5" w:themeColor="accent1"/>
                    <w:sz w:val="20"/>
                    <w:szCs w:val="20"/>
                  </w:rPr>
                  <w:t xml:space="preserve"> </w:t>
                </w:r>
              </w:p>
              <w:p w14:paraId="5472FEAE" w14:textId="77777777" w:rsidR="009A3269" w:rsidRDefault="009A3269" w:rsidP="007771A0"/>
              <w:p w14:paraId="27724076" w14:textId="77777777" w:rsidR="006C1806" w:rsidRDefault="006C1806" w:rsidP="007771A0">
                <w:r>
                  <w:t>Edward Wadsworth was</w:t>
                </w:r>
                <w:r w:rsidR="007771A0">
                  <w:t xml:space="preserve"> born at </w:t>
                </w:r>
                <w:proofErr w:type="spellStart"/>
                <w:r w:rsidR="007771A0">
                  <w:t>Highfield</w:t>
                </w:r>
                <w:proofErr w:type="spellEnd"/>
                <w:r w:rsidR="007771A0">
                  <w:t xml:space="preserve">, </w:t>
                </w:r>
                <w:proofErr w:type="spellStart"/>
                <w:r w:rsidR="007771A0">
                  <w:t>Cleckheaton</w:t>
                </w:r>
                <w:proofErr w:type="spellEnd"/>
                <w:r w:rsidR="007771A0">
                  <w:t xml:space="preserve"> in</w:t>
                </w:r>
                <w:r>
                  <w:t xml:space="preserve"> Yorkshire</w:t>
                </w:r>
                <w:r w:rsidR="007771A0">
                  <w:t xml:space="preserve"> in 1889.</w:t>
                </w:r>
                <w:r>
                  <w:t xml:space="preserve"> His father was the hea</w:t>
                </w:r>
                <w:r w:rsidR="007771A0">
                  <w:t>d of a prominent textile family;</w:t>
                </w:r>
                <w:r>
                  <w:t xml:space="preserve"> his mother</w:t>
                </w:r>
                <w:r w:rsidR="007771A0">
                  <w:t xml:space="preserve"> died shortly after his birth. </w:t>
                </w:r>
                <w:r>
                  <w:t xml:space="preserve">In 1906 he was sent to Munich to study engineering, and there attended the </w:t>
                </w:r>
                <w:proofErr w:type="spellStart"/>
                <w:r>
                  <w:t>Knirr</w:t>
                </w:r>
                <w:proofErr w:type="spellEnd"/>
                <w:r>
                  <w:t xml:space="preserve"> Art School where he learnt techniques including the woodcut. Against the wishes of his father, he enrolled at the Bradford School of Art on his return, winning a scholarship to the Slade w</w:t>
                </w:r>
                <w:r w:rsidR="007771A0">
                  <w:t>here he studied from 1908-1912. Th</w:t>
                </w:r>
                <w:r>
                  <w:t>ere he won prizes for landscape and figure painting, and met the influential artist and critic Roger Fry, subsequently producing designs at the latter’s Omega Workshops</w:t>
                </w:r>
                <w:r w:rsidR="007771A0">
                  <w:t xml:space="preserve">. </w:t>
                </w:r>
                <w:r>
                  <w:t>Initially, Wadsworth was influenced by Post-Impressionism and showed work in Fry’s Second Post-Impressionist Exhibition in 1912</w:t>
                </w:r>
                <w:r w:rsidR="007771A0">
                  <w:t xml:space="preserve">. He married violinist Fanny Eveleigh at this time. </w:t>
                </w:r>
                <w:r>
                  <w:t xml:space="preserve">In October 1913, however, Wadsworth joined Wyndham Lewis, Frederick </w:t>
                </w:r>
                <w:proofErr w:type="spellStart"/>
                <w:r>
                  <w:t>Etchells</w:t>
                </w:r>
                <w:proofErr w:type="spellEnd"/>
                <w:r>
                  <w:t xml:space="preserve"> and Cuthbert Hamilton in breaking away from the Omega Workshops and, in early 1914, joined the Rebel Art Centre, where the </w:t>
                </w:r>
                <w:proofErr w:type="spellStart"/>
                <w:r>
                  <w:t>Vorticist</w:t>
                </w:r>
                <w:proofErr w:type="spellEnd"/>
                <w:r>
                  <w:t xml:space="preserve"> movement was born.  </w:t>
                </w:r>
              </w:p>
              <w:p w14:paraId="651FA723" w14:textId="77777777" w:rsidR="007771A0" w:rsidRDefault="007771A0" w:rsidP="007771A0"/>
              <w:p w14:paraId="0A5BD35E" w14:textId="77777777" w:rsidR="007771A0" w:rsidRDefault="006C1806" w:rsidP="007771A0">
                <w:proofErr w:type="spellStart"/>
                <w:r>
                  <w:t>Vorticism</w:t>
                </w:r>
                <w:proofErr w:type="spellEnd"/>
                <w:r>
                  <w:t xml:space="preserve">, like Futurism, celebrated the violence and energy of the machine-age, synthesised with the stillness and geometry of Cubist compositions. Four of Wadsworth’s boldly abstract woodcuts were published in the </w:t>
                </w:r>
                <w:proofErr w:type="spellStart"/>
                <w:r>
                  <w:t>Vorticist</w:t>
                </w:r>
                <w:proofErr w:type="spellEnd"/>
                <w:r>
                  <w:t xml:space="preserve"> journal, </w:t>
                </w:r>
                <w:r w:rsidRPr="00794998">
                  <w:rPr>
                    <w:i/>
                  </w:rPr>
                  <w:t>Blast</w:t>
                </w:r>
                <w:r>
                  <w:t xml:space="preserve"> No.1,</w:t>
                </w:r>
                <w:r w:rsidR="007771A0">
                  <w:t xml:space="preserve"> in June 1914. </w:t>
                </w:r>
                <w:r>
                  <w:t>During the First World War, Wadsworth served as an intelligence officer with the RNVR in the Mediterranean, until invalided out in 1917, after which he oversaw the painting of ‘dazzle’ camouflage on s</w:t>
                </w:r>
                <w:r w:rsidR="007771A0">
                  <w:t xml:space="preserve">hips in Liverpool and Bristol. </w:t>
                </w:r>
                <w:r>
                  <w:t xml:space="preserve">There was a clear affinity between the optical distortions of the camouflage and </w:t>
                </w:r>
                <w:proofErr w:type="spellStart"/>
                <w:r>
                  <w:t>Vorticist</w:t>
                </w:r>
                <w:proofErr w:type="spellEnd"/>
                <w:r>
                  <w:t xml:space="preserve"> abstraction, and ‘dazzle’ designs appear in several woodcuts produced at this</w:t>
                </w:r>
                <w:r w:rsidR="007771A0">
                  <w:t xml:space="preserve"> time. </w:t>
                </w:r>
                <w:r>
                  <w:t xml:space="preserve">He was also commissioned by the Canadian War Memorial committee to produce a large canvas, </w:t>
                </w:r>
                <w:r w:rsidRPr="00794998">
                  <w:rPr>
                    <w:i/>
                  </w:rPr>
                  <w:t xml:space="preserve">Dazzle Ship in </w:t>
                </w:r>
                <w:proofErr w:type="spellStart"/>
                <w:r w:rsidRPr="00794998">
                  <w:rPr>
                    <w:i/>
                  </w:rPr>
                  <w:t>Drydock</w:t>
                </w:r>
                <w:proofErr w:type="spellEnd"/>
                <w:r>
                  <w:rPr>
                    <w:i/>
                  </w:rPr>
                  <w:t xml:space="preserve"> at Liverpool</w:t>
                </w:r>
                <w:r>
                  <w:t xml:space="preserve"> (1919)</w:t>
                </w:r>
                <w:r w:rsidR="007771A0">
                  <w:t>,</w:t>
                </w:r>
                <w:r>
                  <w:t xml:space="preserve"> which marks an important turning point in Wadsworth’s career, combining abstract geometric shapes with a realist maritime subject.</w:t>
                </w:r>
                <w:r w:rsidR="007771A0">
                  <w:t xml:space="preserve"> </w:t>
                </w:r>
              </w:p>
              <w:p w14:paraId="7FC874F7" w14:textId="77777777" w:rsidR="007771A0" w:rsidRDefault="007771A0" w:rsidP="007771A0"/>
              <w:p w14:paraId="483C344C" w14:textId="369323D0" w:rsidR="006C1806" w:rsidRDefault="006C1806" w:rsidP="007771A0">
                <w:r>
                  <w:t xml:space="preserve">In 1920 Wadsworth exhibited some drawings of the Black Country at the Leicester Galleries and with Group X at the Mansard Gallery, which hailed a return to landscape subjects, in line with the more general Europe-wide </w:t>
                </w:r>
                <w:r w:rsidRPr="00D275AA">
                  <w:rPr>
                    <w:i/>
                  </w:rPr>
                  <w:t xml:space="preserve">rappel à </w:t>
                </w:r>
                <w:proofErr w:type="spellStart"/>
                <w:r w:rsidRPr="00D275AA">
                  <w:rPr>
                    <w:i/>
                  </w:rPr>
                  <w:t>l’ordre</w:t>
                </w:r>
                <w:proofErr w:type="spellEnd"/>
                <w:r>
                  <w:rPr>
                    <w:i/>
                  </w:rPr>
                  <w:t>,</w:t>
                </w:r>
                <w:r>
                  <w:t xml:space="preserve"> a conservative reaction a</w:t>
                </w:r>
                <w:r w:rsidR="007771A0">
                  <w:t>gainst the pre-war avant-garde.</w:t>
                </w:r>
                <w:r>
                  <w:t xml:space="preserve"> This tendency fully emerged with Wadsworth’s harbour scenes, a theme that came to dominate his oeuvre throughout the twent</w:t>
                </w:r>
                <w:r w:rsidR="007771A0">
                  <w:t>ies.</w:t>
                </w:r>
                <w:r>
                  <w:t xml:space="preserve"> His style became less cubistic and more akin to a neo-classical realism; yet there is a surreal quality to the works which have the eerie stillness of a theatrical backdrop – sometimes even framed by a draped curtain as in </w:t>
                </w:r>
                <w:r w:rsidRPr="004B191A">
                  <w:rPr>
                    <w:i/>
                  </w:rPr>
                  <w:t>Quayside</w:t>
                </w:r>
                <w:r>
                  <w:t xml:space="preserve"> (1925) – and are entirely empty of human figures. It was at this time that Wadsworth adopted the medium of tempera, which resulted in carefully planned</w:t>
                </w:r>
                <w:r w:rsidR="007771A0">
                  <w:t>—</w:t>
                </w:r>
                <w:r>
                  <w:t>and meticulously executed</w:t>
                </w:r>
                <w:r w:rsidR="007771A0">
                  <w:t>—</w:t>
                </w:r>
                <w:r>
                  <w:t>compositions, smooth surfaces and brilliant colours</w:t>
                </w:r>
                <w:r w:rsidR="007771A0">
                  <w:t>.</w:t>
                </w:r>
                <w:r>
                  <w:t xml:space="preserve"> From the harbour scenes developed a new genre of marine still life paintings from c.1926, which owe much to the influence of G</w:t>
                </w:r>
                <w:r w:rsidR="007771A0">
                  <w:t xml:space="preserve">iorgio de Chirico’s surreal set </w:t>
                </w:r>
                <w:r>
                  <w:t>pieces.</w:t>
                </w:r>
                <w:r w:rsidR="007771A0">
                  <w:t xml:space="preserve"> </w:t>
                </w:r>
                <w:r>
                  <w:t xml:space="preserve">The stark clarity and ambiguous relationship between the objects, as in </w:t>
                </w:r>
                <w:r w:rsidRPr="001A6EE7">
                  <w:rPr>
                    <w:i/>
                  </w:rPr>
                  <w:t>Regalia</w:t>
                </w:r>
                <w:r>
                  <w:t xml:space="preserve"> (1928), give them a mysterious and monumental quality.  </w:t>
                </w:r>
              </w:p>
              <w:p w14:paraId="45D1B702" w14:textId="77777777" w:rsidR="009A3269" w:rsidRDefault="009A3269" w:rsidP="007771A0"/>
              <w:p w14:paraId="3E0F132F" w14:textId="77777777" w:rsidR="009A3269" w:rsidRDefault="009A3269" w:rsidP="007771A0">
                <w:r>
                  <w:t>Fig:</w:t>
                </w:r>
              </w:p>
              <w:p w14:paraId="01B631CC" w14:textId="77777777" w:rsidR="009A3269" w:rsidRPr="009A3269" w:rsidRDefault="009A3269" w:rsidP="009A3269">
                <w:pPr>
                  <w:rPr>
                    <w:color w:val="5B9BD5" w:themeColor="accent1"/>
                    <w:sz w:val="20"/>
                    <w:szCs w:val="20"/>
                  </w:rPr>
                </w:pPr>
                <w:r w:rsidRPr="009A3269">
                  <w:rPr>
                    <w:color w:val="5B9BD5" w:themeColor="accent1"/>
                    <w:sz w:val="20"/>
                    <w:szCs w:val="20"/>
                  </w:rPr>
                  <w:t>‘Regalia’ (1928), tempera and oil paint on canvas on board, 76.3 x 91.7cm, London: Tate (</w:t>
                </w:r>
                <w:hyperlink r:id="rId11" w:history="1">
                  <w:r w:rsidRPr="009A3269">
                    <w:rPr>
                      <w:rStyle w:val="Hyperlink"/>
                      <w:color w:val="5B9BD5" w:themeColor="accent1"/>
                      <w:sz w:val="20"/>
                      <w:szCs w:val="20"/>
                    </w:rPr>
                    <w:t>http://www.tate.org.uk/art/artworks/wadsworth-regalia-t03398</w:t>
                  </w:r>
                </w:hyperlink>
                <w:proofErr w:type="gramStart"/>
                <w:r w:rsidRPr="009A3269">
                  <w:rPr>
                    <w:color w:val="5B9BD5" w:themeColor="accent1"/>
                    <w:sz w:val="20"/>
                    <w:szCs w:val="20"/>
                  </w:rPr>
                  <w:t xml:space="preserve"> )</w:t>
                </w:r>
                <w:proofErr w:type="gramEnd"/>
                <w:r w:rsidRPr="009A3269">
                  <w:rPr>
                    <w:color w:val="5B9BD5" w:themeColor="accent1"/>
                    <w:sz w:val="20"/>
                    <w:szCs w:val="20"/>
                  </w:rPr>
                  <w:t xml:space="preserve"> - for image reproduction go to </w:t>
                </w:r>
                <w:hyperlink r:id="rId12" w:history="1">
                  <w:r w:rsidRPr="009A3269">
                    <w:rPr>
                      <w:rStyle w:val="Hyperlink"/>
                      <w:color w:val="5B9BD5" w:themeColor="accent1"/>
                      <w:sz w:val="20"/>
                      <w:szCs w:val="20"/>
                    </w:rPr>
                    <w:t>www.tate-images.com</w:t>
                  </w:r>
                </w:hyperlink>
                <w:r w:rsidRPr="009A3269">
                  <w:rPr>
                    <w:color w:val="5B9BD5" w:themeColor="accent1"/>
                    <w:sz w:val="20"/>
                    <w:szCs w:val="20"/>
                  </w:rPr>
                  <w:t xml:space="preserve">  </w:t>
                </w:r>
                <w:bookmarkStart w:id="0" w:name="_GoBack"/>
                <w:bookmarkEnd w:id="0"/>
              </w:p>
              <w:p w14:paraId="48AF1828" w14:textId="77777777" w:rsidR="007771A0" w:rsidRDefault="007771A0" w:rsidP="007771A0"/>
              <w:p w14:paraId="003E9A7D" w14:textId="6D0FE79A" w:rsidR="006C1806" w:rsidRDefault="006C1806" w:rsidP="007771A0">
                <w:r>
                  <w:t>By the end of the 1920s</w:t>
                </w:r>
                <w:r w:rsidR="007771A0">
                  <w:t>,</w:t>
                </w:r>
                <w:r>
                  <w:t xml:space="preserve"> Wadsworth’s output became increasingly abstract and, in 1932, he began work on the </w:t>
                </w:r>
                <w:r w:rsidRPr="001A6EE7">
                  <w:rPr>
                    <w:i/>
                  </w:rPr>
                  <w:t>Dux et Comes</w:t>
                </w:r>
                <w:r>
                  <w:t xml:space="preserve"> series, depicting embryo-like forms float</w:t>
                </w:r>
                <w:r w:rsidR="007771A0">
                  <w:t>ing against a flat background. He joined ‘Unit One’</w:t>
                </w:r>
                <w:r>
                  <w:t xml:space="preserve"> and was also associated with ‘Abstraction-</w:t>
                </w:r>
                <w:proofErr w:type="spellStart"/>
                <w:r>
                  <w:t>Création</w:t>
                </w:r>
                <w:proofErr w:type="spellEnd"/>
                <w:r>
                  <w:t xml:space="preserve">’ (founded in 1931), but soon reverted to his former realist style in commissions such as the </w:t>
                </w:r>
                <w:r w:rsidRPr="00917ED0">
                  <w:rPr>
                    <w:i/>
                  </w:rPr>
                  <w:t>Queen Mary</w:t>
                </w:r>
                <w:r>
                  <w:t xml:space="preserve"> smoke room pictures and a tempera panel for de la </w:t>
                </w:r>
                <w:proofErr w:type="spellStart"/>
                <w:r>
                  <w:t>Warr</w:t>
                </w:r>
                <w:proofErr w:type="spellEnd"/>
                <w:r>
                  <w:t xml:space="preserve"> pavilion café. Barred from the coast during the Second World War due to his German connections, he moved to Buxton, joined the Home Guard </w:t>
                </w:r>
                <w:r>
                  <w:lastRenderedPageBreak/>
                  <w:t>and worked o</w:t>
                </w:r>
                <w:r w:rsidR="007771A0">
                  <w:t>n advertising imagery for ICI. A return to the south c</w:t>
                </w:r>
                <w:r>
                  <w:t>oast after the war stimulated another move towards abstraction, before Wadsworth died in a London nursing home following a short illness in 1949.</w:t>
                </w:r>
              </w:p>
              <w:p w14:paraId="7CB96CB9" w14:textId="77777777" w:rsidR="003F0D73" w:rsidRDefault="003F0D73" w:rsidP="00C27FAB"/>
            </w:tc>
          </w:sdtContent>
        </w:sdt>
      </w:tr>
      <w:tr w:rsidR="003235A7" w14:paraId="2B9EF434" w14:textId="77777777" w:rsidTr="003235A7">
        <w:tc>
          <w:tcPr>
            <w:tcW w:w="9016" w:type="dxa"/>
          </w:tcPr>
          <w:p w14:paraId="67BB9F3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34B91F951B9E419E14F00BFB393BB4"/>
              </w:placeholder>
            </w:sdtPr>
            <w:sdtContent>
              <w:p w14:paraId="08D715DF" w14:textId="77777777" w:rsidR="00B8619B" w:rsidRDefault="00B8619B" w:rsidP="00B8619B"/>
              <w:p w14:paraId="775C8EC6" w14:textId="77777777" w:rsidR="00B8619B" w:rsidRDefault="00B8619B" w:rsidP="00B8619B">
                <w:sdt>
                  <w:sdtPr>
                    <w:id w:val="794572518"/>
                    <w:citation/>
                  </w:sdtPr>
                  <w:sdtContent>
                    <w:r>
                      <w:fldChar w:fldCharType="begin"/>
                    </w:r>
                    <w:r>
                      <w:rPr>
                        <w:lang w:val="en-US"/>
                      </w:rPr>
                      <w:instrText xml:space="preserve"> CITATION Bla06 \l 1033 </w:instrText>
                    </w:r>
                    <w:r>
                      <w:fldChar w:fldCharType="separate"/>
                    </w:r>
                    <w:r>
                      <w:rPr>
                        <w:noProof/>
                        <w:lang w:val="en-US"/>
                      </w:rPr>
                      <w:t>(Black)</w:t>
                    </w:r>
                    <w:r>
                      <w:fldChar w:fldCharType="end"/>
                    </w:r>
                  </w:sdtContent>
                </w:sdt>
              </w:p>
              <w:p w14:paraId="4D3188F5" w14:textId="77777777" w:rsidR="00B8619B" w:rsidRDefault="00B8619B" w:rsidP="00B8619B"/>
              <w:p w14:paraId="64158DF0" w14:textId="77777777" w:rsidR="00B8619B" w:rsidRDefault="00B8619B" w:rsidP="00B8619B">
                <w:sdt>
                  <w:sdtPr>
                    <w:id w:val="1338193553"/>
                    <w:citation/>
                  </w:sdtPr>
                  <w:sdtContent>
                    <w:r>
                      <w:fldChar w:fldCharType="begin"/>
                    </w:r>
                    <w:r>
                      <w:rPr>
                        <w:lang w:val="en-US"/>
                      </w:rPr>
                      <w:instrText xml:space="preserve"> CITATION Gla74 \l 1033 </w:instrText>
                    </w:r>
                    <w:r>
                      <w:fldChar w:fldCharType="separate"/>
                    </w:r>
                    <w:r>
                      <w:rPr>
                        <w:noProof/>
                        <w:lang w:val="en-US"/>
                      </w:rPr>
                      <w:t>(Glazebrook)</w:t>
                    </w:r>
                    <w:r>
                      <w:fldChar w:fldCharType="end"/>
                    </w:r>
                  </w:sdtContent>
                </w:sdt>
              </w:p>
              <w:p w14:paraId="7157E0B7" w14:textId="77777777" w:rsidR="00B8619B" w:rsidRDefault="00B8619B" w:rsidP="00B8619B"/>
              <w:p w14:paraId="23C887D0" w14:textId="77777777" w:rsidR="005472E3" w:rsidRDefault="005472E3" w:rsidP="00B8619B">
                <w:sdt>
                  <w:sdtPr>
                    <w:id w:val="-225608334"/>
                    <w:citation/>
                  </w:sdtPr>
                  <w:sdtContent>
                    <w:r>
                      <w:fldChar w:fldCharType="begin"/>
                    </w:r>
                    <w:r>
                      <w:rPr>
                        <w:lang w:val="en-US"/>
                      </w:rPr>
                      <w:instrText xml:space="preserve"> CITATION Ear51 \l 1033 </w:instrText>
                    </w:r>
                    <w:r>
                      <w:fldChar w:fldCharType="separate"/>
                    </w:r>
                    <w:r>
                      <w:rPr>
                        <w:noProof/>
                        <w:lang w:val="en-US"/>
                      </w:rPr>
                      <w:t>(Earp)</w:t>
                    </w:r>
                    <w:r>
                      <w:fldChar w:fldCharType="end"/>
                    </w:r>
                  </w:sdtContent>
                </w:sdt>
              </w:p>
              <w:p w14:paraId="5F205AA9" w14:textId="77777777" w:rsidR="005472E3" w:rsidRDefault="005472E3" w:rsidP="00B8619B"/>
              <w:p w14:paraId="74CEEE75" w14:textId="77777777" w:rsidR="005472E3" w:rsidRDefault="005472E3" w:rsidP="00B8619B">
                <w:sdt>
                  <w:sdtPr>
                    <w:id w:val="1270362901"/>
                    <w:citation/>
                  </w:sdtPr>
                  <w:sdtContent>
                    <w:r>
                      <w:fldChar w:fldCharType="begin"/>
                    </w:r>
                    <w:r>
                      <w:rPr>
                        <w:lang w:val="en-US"/>
                      </w:rPr>
                      <w:instrText xml:space="preserve"> CITATION Lew901 \l 1033 </w:instrText>
                    </w:r>
                    <w:r>
                      <w:fldChar w:fldCharType="separate"/>
                    </w:r>
                    <w:r>
                      <w:rPr>
                        <w:noProof/>
                        <w:lang w:val="en-US"/>
                      </w:rPr>
                      <w:t>(Lewison)</w:t>
                    </w:r>
                    <w:r>
                      <w:fldChar w:fldCharType="end"/>
                    </w:r>
                  </w:sdtContent>
                </w:sdt>
              </w:p>
              <w:p w14:paraId="07B304B7" w14:textId="77777777" w:rsidR="005472E3" w:rsidRDefault="005472E3" w:rsidP="00B8619B"/>
              <w:p w14:paraId="35F0A16F" w14:textId="77777777" w:rsidR="005472E3" w:rsidRDefault="005472E3" w:rsidP="00B8619B">
                <w:sdt>
                  <w:sdtPr>
                    <w:id w:val="-1008516310"/>
                    <w:citation/>
                  </w:sdtPr>
                  <w:sdtContent>
                    <w:r>
                      <w:fldChar w:fldCharType="begin"/>
                    </w:r>
                    <w:r>
                      <w:rPr>
                        <w:lang w:val="en-US"/>
                      </w:rPr>
                      <w:instrText xml:space="preserve"> CITATION Wad89 \l 1033 </w:instrText>
                    </w:r>
                    <w:r>
                      <w:fldChar w:fldCharType="separate"/>
                    </w:r>
                    <w:r>
                      <w:rPr>
                        <w:noProof/>
                        <w:lang w:val="en-US"/>
                      </w:rPr>
                      <w:t>(Wadsworth)</w:t>
                    </w:r>
                    <w:r>
                      <w:fldChar w:fldCharType="end"/>
                    </w:r>
                  </w:sdtContent>
                </w:sdt>
              </w:p>
              <w:p w14:paraId="71537C16" w14:textId="77777777" w:rsidR="005472E3" w:rsidRDefault="005472E3" w:rsidP="00B8619B"/>
              <w:p w14:paraId="23D7DF51" w14:textId="13F1A848" w:rsidR="003235A7" w:rsidRDefault="005472E3" w:rsidP="00B8619B">
                <w:sdt>
                  <w:sdtPr>
                    <w:id w:val="1997226925"/>
                    <w:citation/>
                  </w:sdtPr>
                  <w:sdtContent>
                    <w:r>
                      <w:fldChar w:fldCharType="begin"/>
                    </w:r>
                    <w:r>
                      <w:rPr>
                        <w:lang w:val="en-US"/>
                      </w:rPr>
                      <w:instrText xml:space="preserve"> CITATION Wad891 \l 1033 </w:instrText>
                    </w:r>
                    <w:r>
                      <w:fldChar w:fldCharType="separate"/>
                    </w:r>
                    <w:r>
                      <w:rPr>
                        <w:noProof/>
                        <w:lang w:val="en-US"/>
                      </w:rPr>
                      <w:t>(B. Wadsworth)</w:t>
                    </w:r>
                    <w:r>
                      <w:fldChar w:fldCharType="end"/>
                    </w:r>
                  </w:sdtContent>
                </w:sdt>
              </w:p>
            </w:sdtContent>
          </w:sdt>
        </w:tc>
      </w:tr>
    </w:tbl>
    <w:p w14:paraId="0C0B3733"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87606" w14:textId="77777777" w:rsidR="00B8619B" w:rsidRDefault="00B8619B" w:rsidP="007A0D55">
      <w:pPr>
        <w:spacing w:after="0" w:line="240" w:lineRule="auto"/>
      </w:pPr>
      <w:r>
        <w:separator/>
      </w:r>
    </w:p>
  </w:endnote>
  <w:endnote w:type="continuationSeparator" w:id="0">
    <w:p w14:paraId="067AC9BE" w14:textId="77777777" w:rsidR="00B8619B" w:rsidRDefault="00B861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15DDF" w14:textId="77777777" w:rsidR="00B8619B" w:rsidRDefault="00B8619B" w:rsidP="007A0D55">
      <w:pPr>
        <w:spacing w:after="0" w:line="240" w:lineRule="auto"/>
      </w:pPr>
      <w:r>
        <w:separator/>
      </w:r>
    </w:p>
  </w:footnote>
  <w:footnote w:type="continuationSeparator" w:id="0">
    <w:p w14:paraId="15976FCF" w14:textId="77777777" w:rsidR="00B8619B" w:rsidRDefault="00B861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FF8BD" w14:textId="77777777" w:rsidR="00B8619B" w:rsidRDefault="00B861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66451A" w14:textId="77777777" w:rsidR="00B8619B" w:rsidRDefault="00B861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66D24"/>
    <w:multiLevelType w:val="hybridMultilevel"/>
    <w:tmpl w:val="B26A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8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72E3"/>
    <w:rsid w:val="00590035"/>
    <w:rsid w:val="005B177E"/>
    <w:rsid w:val="005B3921"/>
    <w:rsid w:val="005F26D7"/>
    <w:rsid w:val="005F5450"/>
    <w:rsid w:val="006C1806"/>
    <w:rsid w:val="006D0412"/>
    <w:rsid w:val="007411B9"/>
    <w:rsid w:val="007771A0"/>
    <w:rsid w:val="00780D95"/>
    <w:rsid w:val="00780DC7"/>
    <w:rsid w:val="007A0D55"/>
    <w:rsid w:val="007B3377"/>
    <w:rsid w:val="007E5F44"/>
    <w:rsid w:val="00821DE3"/>
    <w:rsid w:val="00846CE1"/>
    <w:rsid w:val="008A5B87"/>
    <w:rsid w:val="00922950"/>
    <w:rsid w:val="009A3269"/>
    <w:rsid w:val="009A7264"/>
    <w:rsid w:val="009D1606"/>
    <w:rsid w:val="009E18A1"/>
    <w:rsid w:val="009E73D7"/>
    <w:rsid w:val="00A27D2C"/>
    <w:rsid w:val="00A76FD9"/>
    <w:rsid w:val="00AB436D"/>
    <w:rsid w:val="00AD2F24"/>
    <w:rsid w:val="00AD4844"/>
    <w:rsid w:val="00B219AE"/>
    <w:rsid w:val="00B33145"/>
    <w:rsid w:val="00B574C9"/>
    <w:rsid w:val="00B8619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8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18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806"/>
    <w:rPr>
      <w:rFonts w:ascii="Lucida Grande" w:hAnsi="Lucida Grande" w:cs="Lucida Grande"/>
      <w:sz w:val="18"/>
      <w:szCs w:val="18"/>
    </w:rPr>
  </w:style>
  <w:style w:type="character" w:styleId="Hyperlink">
    <w:name w:val="Hyperlink"/>
    <w:basedOn w:val="DefaultParagraphFont"/>
    <w:uiPriority w:val="99"/>
    <w:semiHidden/>
    <w:unhideWhenUsed/>
    <w:rsid w:val="009A3269"/>
    <w:rPr>
      <w:color w:val="0563C1" w:themeColor="hyperlink"/>
      <w:u w:val="single"/>
    </w:rPr>
  </w:style>
  <w:style w:type="paragraph" w:styleId="ListParagraph">
    <w:name w:val="List Paragraph"/>
    <w:basedOn w:val="Normal"/>
    <w:uiPriority w:val="34"/>
    <w:qFormat/>
    <w:rsid w:val="009A3269"/>
    <w:pPr>
      <w:spacing w:after="200" w:line="240" w:lineRule="auto"/>
      <w:ind w:left="720"/>
      <w:contextualSpacing/>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18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806"/>
    <w:rPr>
      <w:rFonts w:ascii="Lucida Grande" w:hAnsi="Lucida Grande" w:cs="Lucida Grande"/>
      <w:sz w:val="18"/>
      <w:szCs w:val="18"/>
    </w:rPr>
  </w:style>
  <w:style w:type="character" w:styleId="Hyperlink">
    <w:name w:val="Hyperlink"/>
    <w:basedOn w:val="DefaultParagraphFont"/>
    <w:uiPriority w:val="99"/>
    <w:semiHidden/>
    <w:unhideWhenUsed/>
    <w:rsid w:val="009A3269"/>
    <w:rPr>
      <w:color w:val="0563C1" w:themeColor="hyperlink"/>
      <w:u w:val="single"/>
    </w:rPr>
  </w:style>
  <w:style w:type="paragraph" w:styleId="ListParagraph">
    <w:name w:val="List Paragraph"/>
    <w:basedOn w:val="Normal"/>
    <w:uiPriority w:val="34"/>
    <w:qFormat/>
    <w:rsid w:val="009A3269"/>
    <w:pPr>
      <w:spacing w:after="20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te.org.uk/art/artworks/wadsworth-regalia-t03398" TargetMode="External"/><Relationship Id="rId12" Type="http://schemas.openxmlformats.org/officeDocument/2006/relationships/hyperlink" Target="http://www.tate-images.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llery.ca/en/see/collections/artwork.php?mkey=5487" TargetMode="External"/><Relationship Id="rId10" Type="http://schemas.openxmlformats.org/officeDocument/2006/relationships/hyperlink" Target="mailto:reproductions@gallery.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7752D328E7D342ADCB2F0CF9D62A7B"/>
        <w:category>
          <w:name w:val="General"/>
          <w:gallery w:val="placeholder"/>
        </w:category>
        <w:types>
          <w:type w:val="bbPlcHdr"/>
        </w:types>
        <w:behaviors>
          <w:behavior w:val="content"/>
        </w:behaviors>
        <w:guid w:val="{9255FC99-5AFE-774A-ACB2-702AB40BD6EB}"/>
      </w:docPartPr>
      <w:docPartBody>
        <w:p w:rsidR="00000000" w:rsidRDefault="004E117A">
          <w:pPr>
            <w:pStyle w:val="837752D328E7D342ADCB2F0CF9D62A7B"/>
          </w:pPr>
          <w:r w:rsidRPr="00CC586D">
            <w:rPr>
              <w:rStyle w:val="PlaceholderText"/>
              <w:b/>
              <w:color w:val="FFFFFF" w:themeColor="background1"/>
            </w:rPr>
            <w:t>[Salutation]</w:t>
          </w:r>
        </w:p>
      </w:docPartBody>
    </w:docPart>
    <w:docPart>
      <w:docPartPr>
        <w:name w:val="7EB9D249A0F4264A92ABE11797FE3E2C"/>
        <w:category>
          <w:name w:val="General"/>
          <w:gallery w:val="placeholder"/>
        </w:category>
        <w:types>
          <w:type w:val="bbPlcHdr"/>
        </w:types>
        <w:behaviors>
          <w:behavior w:val="content"/>
        </w:behaviors>
        <w:guid w:val="{8A03B376-2BFF-E349-97E4-DE0DCD9922D8}"/>
      </w:docPartPr>
      <w:docPartBody>
        <w:p w:rsidR="00000000" w:rsidRDefault="004E117A">
          <w:pPr>
            <w:pStyle w:val="7EB9D249A0F4264A92ABE11797FE3E2C"/>
          </w:pPr>
          <w:r>
            <w:rPr>
              <w:rStyle w:val="PlaceholderText"/>
            </w:rPr>
            <w:t>[First name]</w:t>
          </w:r>
        </w:p>
      </w:docPartBody>
    </w:docPart>
    <w:docPart>
      <w:docPartPr>
        <w:name w:val="F33DB5015F725942B0D9DB1D3A695998"/>
        <w:category>
          <w:name w:val="General"/>
          <w:gallery w:val="placeholder"/>
        </w:category>
        <w:types>
          <w:type w:val="bbPlcHdr"/>
        </w:types>
        <w:behaviors>
          <w:behavior w:val="content"/>
        </w:behaviors>
        <w:guid w:val="{9F077892-7D95-3244-B345-DF70947B819B}"/>
      </w:docPartPr>
      <w:docPartBody>
        <w:p w:rsidR="00000000" w:rsidRDefault="004E117A">
          <w:pPr>
            <w:pStyle w:val="F33DB5015F725942B0D9DB1D3A695998"/>
          </w:pPr>
          <w:r>
            <w:rPr>
              <w:rStyle w:val="PlaceholderText"/>
            </w:rPr>
            <w:t>[Middle name]</w:t>
          </w:r>
        </w:p>
      </w:docPartBody>
    </w:docPart>
    <w:docPart>
      <w:docPartPr>
        <w:name w:val="E22D3D8FCCA4CB46BD2A97DD2E794318"/>
        <w:category>
          <w:name w:val="General"/>
          <w:gallery w:val="placeholder"/>
        </w:category>
        <w:types>
          <w:type w:val="bbPlcHdr"/>
        </w:types>
        <w:behaviors>
          <w:behavior w:val="content"/>
        </w:behaviors>
        <w:guid w:val="{D26679FF-6584-F046-805F-5B79102D9165}"/>
      </w:docPartPr>
      <w:docPartBody>
        <w:p w:rsidR="00000000" w:rsidRDefault="004E117A">
          <w:pPr>
            <w:pStyle w:val="E22D3D8FCCA4CB46BD2A97DD2E794318"/>
          </w:pPr>
          <w:r>
            <w:rPr>
              <w:rStyle w:val="PlaceholderText"/>
            </w:rPr>
            <w:t>[Last name]</w:t>
          </w:r>
        </w:p>
      </w:docPartBody>
    </w:docPart>
    <w:docPart>
      <w:docPartPr>
        <w:name w:val="3677CC02B6A3B64C817946C7FB219C4F"/>
        <w:category>
          <w:name w:val="General"/>
          <w:gallery w:val="placeholder"/>
        </w:category>
        <w:types>
          <w:type w:val="bbPlcHdr"/>
        </w:types>
        <w:behaviors>
          <w:behavior w:val="content"/>
        </w:behaviors>
        <w:guid w:val="{6499A5D7-4CE0-A040-B5BA-7307A3B6D041}"/>
      </w:docPartPr>
      <w:docPartBody>
        <w:p w:rsidR="00000000" w:rsidRDefault="004E117A">
          <w:pPr>
            <w:pStyle w:val="3677CC02B6A3B64C817946C7FB219C4F"/>
          </w:pPr>
          <w:r>
            <w:rPr>
              <w:rStyle w:val="PlaceholderText"/>
            </w:rPr>
            <w:t>[Enter your biography]</w:t>
          </w:r>
        </w:p>
      </w:docPartBody>
    </w:docPart>
    <w:docPart>
      <w:docPartPr>
        <w:name w:val="CD4EF89A752F4F47B23ACDFF0E7AF785"/>
        <w:category>
          <w:name w:val="General"/>
          <w:gallery w:val="placeholder"/>
        </w:category>
        <w:types>
          <w:type w:val="bbPlcHdr"/>
        </w:types>
        <w:behaviors>
          <w:behavior w:val="content"/>
        </w:behaviors>
        <w:guid w:val="{6D73E839-ED5A-794B-AC38-C6103566ABF6}"/>
      </w:docPartPr>
      <w:docPartBody>
        <w:p w:rsidR="00000000" w:rsidRDefault="004E117A">
          <w:pPr>
            <w:pStyle w:val="CD4EF89A752F4F47B23ACDFF0E7AF785"/>
          </w:pPr>
          <w:r>
            <w:rPr>
              <w:rStyle w:val="PlaceholderText"/>
            </w:rPr>
            <w:t>[Enter the institution with which you are affiliated]</w:t>
          </w:r>
        </w:p>
      </w:docPartBody>
    </w:docPart>
    <w:docPart>
      <w:docPartPr>
        <w:name w:val="4BD48BF730F7D34DB4B298386F90FA13"/>
        <w:category>
          <w:name w:val="General"/>
          <w:gallery w:val="placeholder"/>
        </w:category>
        <w:types>
          <w:type w:val="bbPlcHdr"/>
        </w:types>
        <w:behaviors>
          <w:behavior w:val="content"/>
        </w:behaviors>
        <w:guid w:val="{16A83152-1F98-2A49-AF92-DED1B3B0BD24}"/>
      </w:docPartPr>
      <w:docPartBody>
        <w:p w:rsidR="00000000" w:rsidRDefault="004E117A">
          <w:pPr>
            <w:pStyle w:val="4BD48BF730F7D34DB4B298386F90FA13"/>
          </w:pPr>
          <w:r w:rsidRPr="00EF74F7">
            <w:rPr>
              <w:b/>
              <w:color w:val="808080" w:themeColor="background1" w:themeShade="80"/>
            </w:rPr>
            <w:t>[Enter the headword for your article]</w:t>
          </w:r>
        </w:p>
      </w:docPartBody>
    </w:docPart>
    <w:docPart>
      <w:docPartPr>
        <w:name w:val="97EA90BAE99865409C1FA602EF13CE62"/>
        <w:category>
          <w:name w:val="General"/>
          <w:gallery w:val="placeholder"/>
        </w:category>
        <w:types>
          <w:type w:val="bbPlcHdr"/>
        </w:types>
        <w:behaviors>
          <w:behavior w:val="content"/>
        </w:behaviors>
        <w:guid w:val="{BEF9FCF9-5B3D-6C4B-BE74-16D66181FF53}"/>
      </w:docPartPr>
      <w:docPartBody>
        <w:p w:rsidR="00000000" w:rsidRDefault="004E117A">
          <w:pPr>
            <w:pStyle w:val="97EA90BAE99865409C1FA602EF13CE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909DE6B29F81459B9F9EB3EB8407D3"/>
        <w:category>
          <w:name w:val="General"/>
          <w:gallery w:val="placeholder"/>
        </w:category>
        <w:types>
          <w:type w:val="bbPlcHdr"/>
        </w:types>
        <w:behaviors>
          <w:behavior w:val="content"/>
        </w:behaviors>
        <w:guid w:val="{027EAA97-1D89-B842-A058-DB4750F23B61}"/>
      </w:docPartPr>
      <w:docPartBody>
        <w:p w:rsidR="00000000" w:rsidRDefault="004E117A">
          <w:pPr>
            <w:pStyle w:val="72909DE6B29F81459B9F9EB3EB8407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6DA5DD2D31784F8C057D331B88AAB6"/>
        <w:category>
          <w:name w:val="General"/>
          <w:gallery w:val="placeholder"/>
        </w:category>
        <w:types>
          <w:type w:val="bbPlcHdr"/>
        </w:types>
        <w:behaviors>
          <w:behavior w:val="content"/>
        </w:behaviors>
        <w:guid w:val="{2286A254-2283-A34F-ADB2-0213FE996594}"/>
      </w:docPartPr>
      <w:docPartBody>
        <w:p w:rsidR="00000000" w:rsidRDefault="004E117A">
          <w:pPr>
            <w:pStyle w:val="8E6DA5DD2D31784F8C057D331B88AA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34B91F951B9E419E14F00BFB393BB4"/>
        <w:category>
          <w:name w:val="General"/>
          <w:gallery w:val="placeholder"/>
        </w:category>
        <w:types>
          <w:type w:val="bbPlcHdr"/>
        </w:types>
        <w:behaviors>
          <w:behavior w:val="content"/>
        </w:behaviors>
        <w:guid w:val="{E40E03F9-0D18-2949-84D3-9F23FAE4BE58}"/>
      </w:docPartPr>
      <w:docPartBody>
        <w:p w:rsidR="00000000" w:rsidRDefault="004E117A">
          <w:pPr>
            <w:pStyle w:val="4A34B91F951B9E419E14F00BFB393B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7752D328E7D342ADCB2F0CF9D62A7B">
    <w:name w:val="837752D328E7D342ADCB2F0CF9D62A7B"/>
  </w:style>
  <w:style w:type="paragraph" w:customStyle="1" w:styleId="7EB9D249A0F4264A92ABE11797FE3E2C">
    <w:name w:val="7EB9D249A0F4264A92ABE11797FE3E2C"/>
  </w:style>
  <w:style w:type="paragraph" w:customStyle="1" w:styleId="F33DB5015F725942B0D9DB1D3A695998">
    <w:name w:val="F33DB5015F725942B0D9DB1D3A695998"/>
  </w:style>
  <w:style w:type="paragraph" w:customStyle="1" w:styleId="E22D3D8FCCA4CB46BD2A97DD2E794318">
    <w:name w:val="E22D3D8FCCA4CB46BD2A97DD2E794318"/>
  </w:style>
  <w:style w:type="paragraph" w:customStyle="1" w:styleId="3677CC02B6A3B64C817946C7FB219C4F">
    <w:name w:val="3677CC02B6A3B64C817946C7FB219C4F"/>
  </w:style>
  <w:style w:type="paragraph" w:customStyle="1" w:styleId="CD4EF89A752F4F47B23ACDFF0E7AF785">
    <w:name w:val="CD4EF89A752F4F47B23ACDFF0E7AF785"/>
  </w:style>
  <w:style w:type="paragraph" w:customStyle="1" w:styleId="4BD48BF730F7D34DB4B298386F90FA13">
    <w:name w:val="4BD48BF730F7D34DB4B298386F90FA13"/>
  </w:style>
  <w:style w:type="paragraph" w:customStyle="1" w:styleId="97EA90BAE99865409C1FA602EF13CE62">
    <w:name w:val="97EA90BAE99865409C1FA602EF13CE62"/>
  </w:style>
  <w:style w:type="paragraph" w:customStyle="1" w:styleId="72909DE6B29F81459B9F9EB3EB8407D3">
    <w:name w:val="72909DE6B29F81459B9F9EB3EB8407D3"/>
  </w:style>
  <w:style w:type="paragraph" w:customStyle="1" w:styleId="8E6DA5DD2D31784F8C057D331B88AAB6">
    <w:name w:val="8E6DA5DD2D31784F8C057D331B88AAB6"/>
  </w:style>
  <w:style w:type="paragraph" w:customStyle="1" w:styleId="4A34B91F951B9E419E14F00BFB393BB4">
    <w:name w:val="4A34B91F951B9E419E14F00BFB393B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7752D328E7D342ADCB2F0CF9D62A7B">
    <w:name w:val="837752D328E7D342ADCB2F0CF9D62A7B"/>
  </w:style>
  <w:style w:type="paragraph" w:customStyle="1" w:styleId="7EB9D249A0F4264A92ABE11797FE3E2C">
    <w:name w:val="7EB9D249A0F4264A92ABE11797FE3E2C"/>
  </w:style>
  <w:style w:type="paragraph" w:customStyle="1" w:styleId="F33DB5015F725942B0D9DB1D3A695998">
    <w:name w:val="F33DB5015F725942B0D9DB1D3A695998"/>
  </w:style>
  <w:style w:type="paragraph" w:customStyle="1" w:styleId="E22D3D8FCCA4CB46BD2A97DD2E794318">
    <w:name w:val="E22D3D8FCCA4CB46BD2A97DD2E794318"/>
  </w:style>
  <w:style w:type="paragraph" w:customStyle="1" w:styleId="3677CC02B6A3B64C817946C7FB219C4F">
    <w:name w:val="3677CC02B6A3B64C817946C7FB219C4F"/>
  </w:style>
  <w:style w:type="paragraph" w:customStyle="1" w:styleId="CD4EF89A752F4F47B23ACDFF0E7AF785">
    <w:name w:val="CD4EF89A752F4F47B23ACDFF0E7AF785"/>
  </w:style>
  <w:style w:type="paragraph" w:customStyle="1" w:styleId="4BD48BF730F7D34DB4B298386F90FA13">
    <w:name w:val="4BD48BF730F7D34DB4B298386F90FA13"/>
  </w:style>
  <w:style w:type="paragraph" w:customStyle="1" w:styleId="97EA90BAE99865409C1FA602EF13CE62">
    <w:name w:val="97EA90BAE99865409C1FA602EF13CE62"/>
  </w:style>
  <w:style w:type="paragraph" w:customStyle="1" w:styleId="72909DE6B29F81459B9F9EB3EB8407D3">
    <w:name w:val="72909DE6B29F81459B9F9EB3EB8407D3"/>
  </w:style>
  <w:style w:type="paragraph" w:customStyle="1" w:styleId="8E6DA5DD2D31784F8C057D331B88AAB6">
    <w:name w:val="8E6DA5DD2D31784F8C057D331B88AAB6"/>
  </w:style>
  <w:style w:type="paragraph" w:customStyle="1" w:styleId="4A34B91F951B9E419E14F00BFB393BB4">
    <w:name w:val="4A34B91F951B9E419E14F00BFB393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Bla06</b:Tag>
    <b:SourceType>Book</b:SourceType>
    <b:Guid>{1605E587-5126-064B-B71B-7E86B8B28606}</b:Guid>
    <b:Author>
      <b:Author>
        <b:NameList>
          <b:Person>
            <b:Last>Black</b:Last>
            <b:First>J.</b:First>
          </b:Person>
        </b:NameList>
      </b:Author>
    </b:Author>
    <b:Title>Edward Wadsworth: Form, Feeling and Calculation. The Complete Paintings and Drawings,</b:Title>
    <b:City>London</b:City>
    <b:CountryRegion>UK</b:CountryRegion>
    <b:Publisher>Philip Wilson</b:Publisher>
    <b:Year>2006</b:Year>
    <b:RefOrder>1</b:RefOrder>
  </b:Source>
  <b:Source>
    <b:Tag>Gla74</b:Tag>
    <b:SourceType>BookSection</b:SourceType>
    <b:Guid>{9CDF6C5D-B1DF-A74D-9BC0-68090F72E927}</b:Guid>
    <b:Author>
      <b:Author>
        <b:NameList>
          <b:Person>
            <b:Last>Glazebrook</b:Last>
            <b:First>M.</b:First>
          </b:Person>
        </b:NameList>
      </b:Author>
    </b:Author>
    <b:Title>Introduction</b:Title>
    <b:City>London</b:City>
    <b:CountryRegion>UK</b:CountryRegion>
    <b:Publisher>Colnaghi’s</b:Publisher>
    <b:Year>1974</b:Year>
    <b:Comments>Exhibition catalogue.</b:Comments>
    <b:BookTitle>Edward Wadsworth 1889-1949: Paintings, Drawings and Prints</b:BookTitle>
    <b:RefOrder>2</b:RefOrder>
  </b:Source>
  <b:Source>
    <b:Tag>Ear51</b:Tag>
    <b:SourceType>BookSection</b:SourceType>
    <b:Guid>{7ACA169A-4C5D-C04B-AC5B-44207FFF4471}</b:Guid>
    <b:Author>
      <b:Author>
        <b:NameList>
          <b:Person>
            <b:Last>Earp</b:Last>
            <b:First>T.W.</b:First>
          </b:Person>
        </b:NameList>
      </b:Author>
    </b:Author>
    <b:Title>Introduction</b:Title>
    <b:BookTitle>Edward Wadsworth 1889-1949: A Memorial Exhibition</b:BookTitle>
    <b:City>London</b:City>
    <b:CountryRegion>UK</b:CountryRegion>
    <b:Publisher>Tate Gallery</b:Publisher>
    <b:Year>1951</b:Year>
    <b:Comments>Exhibition catalogue.</b:Comments>
    <b:RefOrder>3</b:RefOrder>
  </b:Source>
  <b:Source>
    <b:Tag>Lew901</b:Tag>
    <b:SourceType>Book</b:SourceType>
    <b:Guid>{64410BB7-1758-9643-95EC-6B712E4682CD}</b:Guid>
    <b:Title>A Genius of Industrial England: Edward Wadsworth, 1889-1949</b:Title>
    <b:City>Bradford</b:City>
    <b:StateProvince>Yorkshire</b:StateProvince>
    <b:CountryRegion>UK</b:CountryRegion>
    <b:Publisher>The Arkwright Arts Trust</b:Publisher>
    <b:Year>1990</b:Year>
    <b:Author>
      <b:Editor>
        <b:NameList>
          <b:Person>
            <b:Last>Lewison</b:Last>
            <b:First>J.</b:First>
          </b:Person>
        </b:NameList>
      </b:Editor>
    </b:Author>
    <b:RefOrder>4</b:RefOrder>
  </b:Source>
  <b:Source>
    <b:Tag>Wad89</b:Tag>
    <b:SourceType>Book</b:SourceType>
    <b:Guid>{D9F904CD-0B9A-6D4C-AB25-C72E2B48A8FE}</b:Guid>
    <b:Author>
      <b:Author>
        <b:NameList>
          <b:Person>
            <b:Last>Wadsworth</b:Last>
            <b:First>E.</b:First>
          </b:Person>
        </b:NameList>
      </b:Author>
    </b:Author>
    <b:Title>Edward Wadsworth 1889-1949: An exhibition to celebrate the centenary of his birth</b:Title>
    <b:City>Bradford</b:City>
    <b:StateProvince>Yorkshire</b:StateProvince>
    <b:CountryRegion>UK</b:CountryRegion>
    <b:Publisher>Bradford Art Galleries and Museums</b:Publisher>
    <b:Year>1989</b:Year>
    <b:RefOrder>5</b:RefOrder>
  </b:Source>
  <b:Source>
    <b:Tag>Wad891</b:Tag>
    <b:SourceType>Book</b:SourceType>
    <b:Guid>{246032EA-81E0-CA4D-9D25-08015D142B68}</b:Guid>
    <b:Author>
      <b:Author>
        <b:NameList>
          <b:Person>
            <b:Last>Wadsworth</b:Last>
            <b:First>B.</b:First>
          </b:Person>
        </b:NameList>
      </b:Author>
    </b:Author>
    <b:Title>Edward Wadsworth: A Painter’s Life</b:Title>
    <b:City>Salisbury</b:City>
    <b:StateProvince>Wiltshire</b:StateProvince>
    <b:CountryRegion>UK</b:CountryRegion>
    <b:Publisher>Michael Russell</b:Publisher>
    <b:Year>1989</b:Year>
    <b:RefOrder>6</b:RefOrder>
  </b:Source>
</b:Sources>
</file>

<file path=customXml/itemProps1.xml><?xml version="1.0" encoding="utf-8"?>
<ds:datastoreItem xmlns:ds="http://schemas.openxmlformats.org/officeDocument/2006/customXml" ds:itemID="{477BA710-4D14-4C46-9646-9FF7859A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13</TotalTime>
  <Pages>3</Pages>
  <Words>1180</Words>
  <Characters>6727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2015-02-25T22:37:00Z</dcterms:created>
  <dcterms:modified xsi:type="dcterms:W3CDTF">2015-02-25T22:54:00Z</dcterms:modified>
</cp:coreProperties>
</file>