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color w:val="000000"/>
              <w:sz w:val="32"/>
              <w:szCs w:val="32"/>
            </w:rPr>
            <w:alias w:val="First name"/>
            <w:tag w:val="authorFirstName"/>
            <w:id w:val="581645879"/>
            <w:placeholder>
              <w:docPart w:val="05D56622F9424D608D24D4F34325C272"/>
            </w:placeholder>
            <w:text/>
          </w:sdtPr>
          <w:sdtContent>
            <w:tc>
              <w:tcPr>
                <w:tcW w:w="2073" w:type="dxa"/>
              </w:tcPr>
              <w:p w:rsidR="00B574C9" w:rsidRDefault="00333BB7" w:rsidP="00922950">
                <w:r w:rsidRPr="00333BB7">
                  <w:rPr>
                    <w:rFonts w:ascii="Times New Roman" w:hAnsi="Times New Roman" w:cs="Times New Roman"/>
                    <w:color w:val="000000"/>
                    <w:sz w:val="32"/>
                    <w:szCs w:val="32"/>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color w:val="000000"/>
              <w:sz w:val="32"/>
              <w:szCs w:val="32"/>
            </w:rPr>
            <w:alias w:val="Last name"/>
            <w:tag w:val="authorLastName"/>
            <w:id w:val="-1088529830"/>
            <w:placeholder>
              <w:docPart w:val="5D300C8D1D6A495DB58D07FDD7CB315B"/>
            </w:placeholder>
            <w:text/>
          </w:sdtPr>
          <w:sdtContent>
            <w:tc>
              <w:tcPr>
                <w:tcW w:w="2642" w:type="dxa"/>
              </w:tcPr>
              <w:p w:rsidR="00B574C9" w:rsidRDefault="00333BB7" w:rsidP="00922950">
                <w:proofErr w:type="spellStart"/>
                <w:r w:rsidRPr="00333BB7">
                  <w:rPr>
                    <w:rFonts w:ascii="Times New Roman" w:hAnsi="Times New Roman" w:cs="Times New Roman"/>
                    <w:color w:val="000000"/>
                    <w:sz w:val="32"/>
                    <w:szCs w:val="32"/>
                  </w:rPr>
                  <w:t>Pheiffer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Times New Roman" w:eastAsiaTheme="minorEastAsia" w:hAnsi="Times New Roman" w:cs="Times New Roman"/>
              <w:color w:val="000000"/>
              <w:sz w:val="32"/>
              <w:szCs w:val="32"/>
              <w:lang w:val="en-US"/>
            </w:rPr>
            <w:alias w:val="Affiliation"/>
            <w:tag w:val="affiliation"/>
            <w:id w:val="2012937915"/>
            <w:placeholder>
              <w:docPart w:val="37D93CBAAF634167928EC907B6C27744"/>
            </w:placeholder>
            <w:text/>
          </w:sdtPr>
          <w:sdtContent>
            <w:tc>
              <w:tcPr>
                <w:tcW w:w="8525" w:type="dxa"/>
                <w:gridSpan w:val="4"/>
              </w:tcPr>
              <w:p w:rsidR="00B574C9" w:rsidRDefault="00333BB7" w:rsidP="00B574C9">
                <w:r w:rsidRPr="00333BB7">
                  <w:rPr>
                    <w:rFonts w:ascii="Times New Roman" w:eastAsiaTheme="minorEastAsia" w:hAnsi="Times New Roman" w:cs="Times New Roman"/>
                    <w:color w:val="000000"/>
                    <w:sz w:val="32"/>
                    <w:szCs w:val="32"/>
                    <w:lang w:val="en-US"/>
                  </w:rPr>
                  <w:t>Columbia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color w:val="000000"/>
            </w:rPr>
            <w:alias w:val="Article headword"/>
            <w:tag w:val="articleHeadword"/>
            <w:id w:val="-361440020"/>
            <w:placeholder>
              <w:docPart w:val="37E095FBEF6C47FFB3A1E42622C8331D"/>
            </w:placeholder>
            <w:text/>
          </w:sdtPr>
          <w:sdtContent>
            <w:tc>
              <w:tcPr>
                <w:tcW w:w="9016" w:type="dxa"/>
                <w:tcMar>
                  <w:top w:w="113" w:type="dxa"/>
                  <w:bottom w:w="113" w:type="dxa"/>
                </w:tcMar>
              </w:tcPr>
              <w:p w:rsidR="003F0D73" w:rsidRPr="00FB589A" w:rsidRDefault="00333BB7" w:rsidP="003F0D73">
                <w:pPr>
                  <w:rPr>
                    <w:b/>
                  </w:rPr>
                </w:pPr>
                <w:proofErr w:type="spellStart"/>
                <w:r w:rsidRPr="00333BB7">
                  <w:rPr>
                    <w:rFonts w:ascii="Times New Roman" w:hAnsi="Times New Roman" w:cs="Times New Roman"/>
                    <w:color w:val="000000"/>
                  </w:rPr>
                  <w:t>Bakhtin</w:t>
                </w:r>
                <w:proofErr w:type="spellEnd"/>
                <w:r w:rsidRPr="00333BB7">
                  <w:rPr>
                    <w:rFonts w:ascii="Times New Roman" w:hAnsi="Times New Roman" w:cs="Times New Roman"/>
                    <w:color w:val="000000"/>
                  </w:rPr>
                  <w:t>, Mikhail (1895–1975)</w:t>
                </w:r>
              </w:p>
            </w:tc>
          </w:sdtContent>
        </w:sdt>
      </w:tr>
      <w:tr w:rsidR="00464699"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rsidR="00E85A05" w:rsidRDefault="00333BB7" w:rsidP="00E85A05">
                <w:r w:rsidRPr="001D5D82">
                  <w:rPr>
                    <w:rFonts w:ascii="Times New Roman" w:hAnsi="Times New Roman" w:cs="Times New Roman"/>
                    <w:color w:val="000000"/>
                    <w:sz w:val="24"/>
                    <w:szCs w:val="24"/>
                  </w:rPr>
                  <w:t xml:space="preserve">Mikhail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theorists—have been retroactively dubbed “the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Circle.”</w:t>
                </w:r>
              </w:p>
            </w:tc>
          </w:sdtContent>
        </w:sdt>
      </w:tr>
      <w:tr w:rsidR="003F0D73"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rsidR="00333BB7" w:rsidRPr="001D5D82" w:rsidRDefault="00333BB7" w:rsidP="00333BB7">
                <w:pPr>
                  <w:rPr>
                    <w:rFonts w:ascii="Times New Roman" w:hAnsi="Times New Roman" w:cs="Times New Roman"/>
                    <w:sz w:val="24"/>
                    <w:szCs w:val="24"/>
                  </w:rPr>
                </w:pPr>
                <w:r w:rsidRPr="001D5D82">
                  <w:rPr>
                    <w:rFonts w:ascii="Times New Roman" w:hAnsi="Times New Roman" w:cs="Times New Roman"/>
                    <w:color w:val="000000"/>
                    <w:sz w:val="24"/>
                    <w:szCs w:val="24"/>
                  </w:rPr>
                  <w:t xml:space="preserve">Mikhail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theorists—have been retroactively dubbed “the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Circle.”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who would self-censor his future work and use literary criticism as a veiled means of addressing philosophical, political and social questions. Almost none of </w:t>
                </w:r>
                <w:proofErr w:type="spellStart"/>
                <w:r w:rsidRPr="001D5D82">
                  <w:rPr>
                    <w:rFonts w:ascii="Times New Roman" w:hAnsi="Times New Roman" w:cs="Times New Roman"/>
                    <w:color w:val="000000"/>
                    <w:sz w:val="24"/>
                    <w:szCs w:val="24"/>
                  </w:rPr>
                  <w:t>Bakhtin’s</w:t>
                </w:r>
                <w:proofErr w:type="spellEnd"/>
                <w:r w:rsidRPr="001D5D82">
                  <w:rPr>
                    <w:rFonts w:ascii="Times New Roman" w:hAnsi="Times New Roman" w:cs="Times New Roman"/>
                    <w:color w:val="000000"/>
                    <w:sz w:val="24"/>
                    <w:szCs w:val="24"/>
                  </w:rPr>
                  <w:t xml:space="preserve"> work was published until the 1950s. It is distinguished by terminological innovations, most notably “dialogism,” “</w:t>
                </w:r>
                <w:proofErr w:type="spellStart"/>
                <w:r w:rsidRPr="001D5D82">
                  <w:rPr>
                    <w:rFonts w:ascii="Times New Roman" w:hAnsi="Times New Roman" w:cs="Times New Roman"/>
                    <w:color w:val="000000"/>
                    <w:sz w:val="24"/>
                    <w:szCs w:val="24"/>
                  </w:rPr>
                  <w:t>chronotope</w:t>
                </w:r>
                <w:proofErr w:type="spellEnd"/>
                <w:r w:rsidRPr="001D5D82">
                  <w:rPr>
                    <w:rFonts w:ascii="Times New Roman" w:hAnsi="Times New Roman" w:cs="Times New Roman"/>
                    <w:color w:val="000000"/>
                    <w:sz w:val="24"/>
                    <w:szCs w:val="24"/>
                  </w:rPr>
                  <w:t>” and “</w:t>
                </w:r>
                <w:proofErr w:type="spellStart"/>
                <w:r w:rsidRPr="001D5D82">
                  <w:rPr>
                    <w:rFonts w:ascii="Times New Roman" w:hAnsi="Times New Roman" w:cs="Times New Roman"/>
                    <w:color w:val="000000"/>
                    <w:sz w:val="24"/>
                    <w:szCs w:val="24"/>
                  </w:rPr>
                  <w:t>heteroglossia</w:t>
                </w:r>
                <w:proofErr w:type="spellEnd"/>
                <w:r w:rsidRPr="001D5D82">
                  <w:rPr>
                    <w:rFonts w:ascii="Times New Roman" w:hAnsi="Times New Roman" w:cs="Times New Roman"/>
                    <w:color w:val="000000"/>
                    <w:sz w:val="24"/>
                    <w:szCs w:val="24"/>
                  </w:rPr>
                  <w:t xml:space="preserve">.” For Rabelais,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invented the genre “grotesque realism,” proposing that the carnival and the related “</w:t>
                </w:r>
                <w:proofErr w:type="spellStart"/>
                <w:r w:rsidRPr="001D5D82">
                  <w:rPr>
                    <w:rFonts w:ascii="Times New Roman" w:hAnsi="Times New Roman" w:cs="Times New Roman"/>
                    <w:color w:val="000000"/>
                    <w:sz w:val="24"/>
                    <w:szCs w:val="24"/>
                  </w:rPr>
                  <w:t>carnivalesque</w:t>
                </w:r>
                <w:proofErr w:type="spellEnd"/>
                <w:r w:rsidRPr="001D5D82">
                  <w:rPr>
                    <w:rFonts w:ascii="Times New Roman" w:hAnsi="Times New Roman" w:cs="Times New Roman"/>
                    <w:color w:val="000000"/>
                    <w:sz w:val="24"/>
                    <w:szCs w:val="24"/>
                  </w:rPr>
                  <w:t xml:space="preserve">” were vital cultural institutions. About Dostoevsky,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stressed the “</w:t>
                </w:r>
                <w:proofErr w:type="spellStart"/>
                <w:r w:rsidRPr="001D5D82">
                  <w:rPr>
                    <w:rFonts w:ascii="Times New Roman" w:hAnsi="Times New Roman" w:cs="Times New Roman"/>
                    <w:color w:val="000000"/>
                    <w:sz w:val="24"/>
                    <w:szCs w:val="24"/>
                  </w:rPr>
                  <w:t>multivoicedness</w:t>
                </w:r>
                <w:proofErr w:type="spellEnd"/>
                <w:r w:rsidRPr="001D5D82">
                  <w:rPr>
                    <w:rFonts w:ascii="Times New Roman" w:hAnsi="Times New Roman" w:cs="Times New Roman"/>
                    <w:color w:val="000000"/>
                    <w:sz w:val="24"/>
                    <w:szCs w:val="24"/>
                  </w:rPr>
                  <w:t>” of the novels and their distinctive “</w:t>
                </w:r>
                <w:proofErr w:type="spellStart"/>
                <w:r w:rsidRPr="001D5D82">
                  <w:rPr>
                    <w:rFonts w:ascii="Times New Roman" w:hAnsi="Times New Roman" w:cs="Times New Roman"/>
                    <w:color w:val="000000"/>
                    <w:sz w:val="24"/>
                    <w:szCs w:val="24"/>
                  </w:rPr>
                  <w:t>unfinalizability</w:t>
                </w:r>
                <w:proofErr w:type="spellEnd"/>
                <w:r w:rsidRPr="001D5D82">
                  <w:rPr>
                    <w:rFonts w:ascii="Times New Roman" w:hAnsi="Times New Roman" w:cs="Times New Roman"/>
                    <w:color w:val="000000"/>
                    <w:sz w:val="24"/>
                    <w:szCs w:val="24"/>
                  </w:rPr>
                  <w:t xml:space="preserve">.” Further explorations of genre, speech, and poetics followed. By the 1980s, after being translated into English and French,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acknowledged as one of the great twentieth-century literary theorists.</w:t>
                </w:r>
              </w:p>
              <w:p w:rsidR="00333BB7" w:rsidRDefault="00333BB7" w:rsidP="00C27FAB"/>
              <w:p w:rsidR="00333BB7" w:rsidRDefault="00333BB7" w:rsidP="00C27FAB">
                <w:sdt>
                  <w:sdtPr>
                    <w:id w:val="-831520313"/>
                    <w:citation/>
                  </w:sdtPr>
                  <w:sdtContent>
                    <w:r>
                      <w:fldChar w:fldCharType="begin"/>
                    </w:r>
                    <w:r>
                      <w:rPr>
                        <w:lang w:val="en-CA"/>
                      </w:rPr>
                      <w:instrText xml:space="preserve"> CITATION Cla84 \l 4105 </w:instrText>
                    </w:r>
                    <w:r>
                      <w:fldChar w:fldCharType="separate"/>
                    </w:r>
                    <w:r w:rsidRPr="00333BB7">
                      <w:rPr>
                        <w:noProof/>
                        <w:lang w:val="en-CA"/>
                      </w:rPr>
                      <w:t>(Clark and Holquist)</w:t>
                    </w:r>
                    <w:r>
                      <w:fldChar w:fldCharType="end"/>
                    </w:r>
                  </w:sdtContent>
                </w:sdt>
              </w:p>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33CD2ED30FC494BBBB3A675DC54048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8E1" w:rsidRDefault="00C558E1" w:rsidP="007A0D55">
      <w:pPr>
        <w:spacing w:after="0" w:line="240" w:lineRule="auto"/>
      </w:pPr>
      <w:r>
        <w:separator/>
      </w:r>
    </w:p>
  </w:endnote>
  <w:endnote w:type="continuationSeparator" w:id="0">
    <w:p w:rsidR="00C558E1" w:rsidRDefault="00C558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8E1" w:rsidRDefault="00C558E1" w:rsidP="007A0D55">
      <w:pPr>
        <w:spacing w:after="0" w:line="240" w:lineRule="auto"/>
      </w:pPr>
      <w:r>
        <w:separator/>
      </w:r>
    </w:p>
  </w:footnote>
  <w:footnote w:type="continuationSeparator" w:id="0">
    <w:p w:rsidR="00C558E1" w:rsidRDefault="00C558E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BB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58E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000000"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000000"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000000"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000000" w:rsidRDefault="002548B2">
          <w:pPr>
            <w:pStyle w:val="5D300C8D1D6A495DB58D07FDD7CB315B"/>
          </w:pPr>
          <w:r>
            <w:rPr>
              <w:rStyle w:val="PlaceholderText"/>
            </w:rPr>
            <w:t>[Last</w:t>
          </w:r>
          <w:r>
            <w:rPr>
              <w:rStyle w:val="PlaceholderText"/>
            </w:rPr>
            <w:t xml:space="preserve">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000000"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000000"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000000"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000000"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000000"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000000"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A457E4F4-668D-4AD9-B595-640F5F1A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1</cp:revision>
  <dcterms:created xsi:type="dcterms:W3CDTF">2014-03-10T19:44:00Z</dcterms:created>
  <dcterms:modified xsi:type="dcterms:W3CDTF">2014-03-10T19:51:00Z</dcterms:modified>
</cp:coreProperties>
</file>