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2484FB114DAF4B83886F1F6290561F85"/>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E745F21C09E4E40B174F8180A862DDA"/>
            </w:placeholder>
            <w:text/>
          </w:sdtPr>
          <w:sdtEndPr/>
          <w:sdtContent>
            <w:tc>
              <w:tcPr>
                <w:tcW w:w="2073" w:type="dxa"/>
              </w:tcPr>
              <w:p w:rsidR="00B574C9" w:rsidRDefault="00BD2393" w:rsidP="00BD2393">
                <w:r>
                  <w:t>Eileen</w:t>
                </w:r>
              </w:p>
            </w:tc>
          </w:sdtContent>
        </w:sdt>
        <w:sdt>
          <w:sdtPr>
            <w:alias w:val="Middle name"/>
            <w:tag w:val="authorMiddleName"/>
            <w:id w:val="-2076034781"/>
            <w:placeholder>
              <w:docPart w:val="C408A86994F14DEABF42F9911974CEDF"/>
            </w:placeholder>
            <w:text/>
          </w:sdtPr>
          <w:sdtEndPr/>
          <w:sdtContent>
            <w:tc>
              <w:tcPr>
                <w:tcW w:w="2551" w:type="dxa"/>
              </w:tcPr>
              <w:p w:rsidR="00B574C9" w:rsidRDefault="00BD2393" w:rsidP="00BD2393">
                <w:r>
                  <w:t>Legaspi</w:t>
                </w:r>
              </w:p>
            </w:tc>
          </w:sdtContent>
        </w:sdt>
        <w:sdt>
          <w:sdtPr>
            <w:alias w:val="Last name"/>
            <w:tag w:val="authorLastName"/>
            <w:id w:val="-1088529830"/>
            <w:placeholder>
              <w:docPart w:val="3A89316359614E1FB672E6E9A254923E"/>
            </w:placeholder>
            <w:text/>
          </w:sdtPr>
          <w:sdtEndPr/>
          <w:sdtContent>
            <w:tc>
              <w:tcPr>
                <w:tcW w:w="2642" w:type="dxa"/>
              </w:tcPr>
              <w:p w:rsidR="00B574C9" w:rsidRDefault="00BD2393" w:rsidP="00BD2393">
                <w:r>
                  <w:t>Ramirez</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2D6DBA345C5340068F61E286D93C0683"/>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4A55E839B06C4534AA86D7987C8C6296"/>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b/>
            </w:rPr>
            <w:alias w:val="Article headword"/>
            <w:tag w:val="articleHeadword"/>
            <w:id w:val="-361440020"/>
            <w:placeholder>
              <w:docPart w:val="6FD464367D5B4728BE09FD052C16F0A5"/>
            </w:placeholder>
            <w:text/>
          </w:sdtPr>
          <w:sdtEndPr/>
          <w:sdtContent>
            <w:tc>
              <w:tcPr>
                <w:tcW w:w="9016" w:type="dxa"/>
                <w:tcMar>
                  <w:top w:w="113" w:type="dxa"/>
                  <w:bottom w:w="113" w:type="dxa"/>
                </w:tcMar>
              </w:tcPr>
              <w:p w:rsidR="003F0D73" w:rsidRPr="00FB589A" w:rsidRDefault="00BD2393" w:rsidP="003F0D73">
                <w:pPr>
                  <w:rPr>
                    <w:b/>
                  </w:rPr>
                </w:pPr>
                <w:r w:rsidRPr="00BD2393">
                  <w:rPr>
                    <w:b/>
                  </w:rPr>
                  <w:t>Abstract Expressionism in the Philippines</w:t>
                </w:r>
              </w:p>
            </w:tc>
          </w:sdtContent>
        </w:sdt>
      </w:tr>
      <w:tr w:rsidR="00464699" w:rsidTr="007821B0">
        <w:sdt>
          <w:sdtPr>
            <w:alias w:val="Variant headwords"/>
            <w:tag w:val="variantHeadwords"/>
            <w:id w:val="173464402"/>
            <w:placeholder>
              <w:docPart w:val="ABC3C806FFE2429A9B9532EE37C9E834"/>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BCF4ED270384DB5A414365234D89519"/>
            </w:placeholder>
          </w:sdtPr>
          <w:sdtEndPr/>
          <w:sdtContent>
            <w:tc>
              <w:tcPr>
                <w:tcW w:w="9016" w:type="dxa"/>
                <w:tcMar>
                  <w:top w:w="113" w:type="dxa"/>
                  <w:bottom w:w="113" w:type="dxa"/>
                </w:tcMar>
              </w:tcPr>
              <w:p w:rsidR="00E85A05" w:rsidRDefault="00BD2393" w:rsidP="00E85A05">
                <w:r w:rsidRPr="00BD2393">
                  <w:t xml:space="preserve">Abstract Expressionism in the Philippines was one of many post-Second World War tendencies based on aspirations to stay current with international trends while evolving a grounded visual language. Abstract Expressionism also arose as a function of artists’ increased ability to take advantage of Western state grants and educational opportunities in the Philippines’ former colonizing power, the United States. Such artists included </w:t>
                </w:r>
                <w:r w:rsidR="00664C75">
                  <w:t>José</w:t>
                </w:r>
                <w:r w:rsidRPr="00BD2393">
                  <w:t xml:space="preserve"> </w:t>
                </w:r>
                <w:proofErr w:type="spellStart"/>
                <w:r w:rsidRPr="00BD2393">
                  <w:t>Joya</w:t>
                </w:r>
                <w:proofErr w:type="spellEnd"/>
                <w:r w:rsidRPr="00BD2393">
                  <w:t xml:space="preserve"> (1931- 1995) and Lee Aguinaldo (1933- 2007). By the 1970s, even as the Philippine art market began to open up to abstraction, most public encounters with Modernism generated indifference or outright antagonism, including charges of failing to deliver on conventional ideas of technicality and mimesis.  While abstraction is still regarded as cerebral in some circles in the Philippines, it is also seen as purely decorative in others. On the other hand, in examining intersections between modern-contemporary expression and pre-colonial visual language, some have argued that abstraction does demonstrate affinities with forms present in textile and mat weaving found in both Northern and Southern upland and riverine </w:t>
                </w:r>
                <w:proofErr w:type="spellStart"/>
                <w:r w:rsidRPr="00BD2393">
                  <w:t>ethnolinguistic</w:t>
                </w:r>
                <w:proofErr w:type="spellEnd"/>
                <w:r w:rsidRPr="00BD2393">
                  <w:t xml:space="preserve"> communities, as well as in the architecture, dress patterns, metal, and woodcraft of Muslim and </w:t>
                </w:r>
                <w:proofErr w:type="spellStart"/>
                <w:r w:rsidRPr="00BD2393">
                  <w:t>Lumad</w:t>
                </w:r>
                <w:proofErr w:type="spellEnd"/>
                <w:r w:rsidRPr="00BD2393">
                  <w:t xml:space="preserve"> communities in Mindanao.</w:t>
                </w:r>
              </w:p>
            </w:tc>
          </w:sdtContent>
        </w:sdt>
      </w:tr>
      <w:tr w:rsidR="003F0D73" w:rsidTr="003F0D73">
        <w:sdt>
          <w:sdtPr>
            <w:alias w:val="Article text"/>
            <w:tag w:val="articleText"/>
            <w:id w:val="634067588"/>
            <w:placeholder>
              <w:docPart w:val="0AAE43439AA440F1B1B9A2C583F2683D"/>
            </w:placeholder>
          </w:sdtPr>
          <w:sdtEndPr/>
          <w:sdtContent>
            <w:tc>
              <w:tcPr>
                <w:tcW w:w="9016" w:type="dxa"/>
                <w:tcMar>
                  <w:top w:w="113" w:type="dxa"/>
                  <w:bottom w:w="113" w:type="dxa"/>
                </w:tcMar>
              </w:tcPr>
              <w:p w:rsidR="00BD2393" w:rsidRDefault="00BD2393" w:rsidP="00BD2393">
                <w:r>
                  <w:t xml:space="preserve">Abstract Expressionism in the Philippines was one of many post-Second World War tendencies based on aspirations to stay current with international trends while evolving a grounded visual language. Abstract Expressionism also arose as a function of artists’ increased ability to take advantage of Western state grants and educational opportunities in the Philippines’ former colonizing power, the United States. Such artists included </w:t>
                </w:r>
                <w:r w:rsidR="00664C75">
                  <w:t>José</w:t>
                </w:r>
                <w:r>
                  <w:t xml:space="preserve"> </w:t>
                </w:r>
                <w:proofErr w:type="spellStart"/>
                <w:r>
                  <w:t>Joya</w:t>
                </w:r>
                <w:proofErr w:type="spellEnd"/>
                <w:r>
                  <w:t xml:space="preserve"> (1931- 1995), who studied at Cranbrook Academy of Art; and Lee Aguinaldo (1933- 2007), who studied at Culver Military Academy, in lieu of a lifelong dream to study at the Art Students League.  By the 1970s, even as the Philippine art market b</w:t>
                </w:r>
                <w:bookmarkStart w:id="0" w:name="_GoBack"/>
                <w:bookmarkEnd w:id="0"/>
                <w:r>
                  <w:t xml:space="preserve">egan to open up to abstraction, most public encounters with Modernism generated indifference or outright antagonism, including charges of failing to deliver on conventional ideas of technicality and mimesis.  While abstraction is still regarded as cerebral in some circles in the Philippines, it is also seen as purely decorative in others. On the other hand, in examining intersections between modern/contemporary expression and pre-colonial visual language, some have argued that abstraction does demonstrate affinities with forms present in textile and mat weaving found in both Northern and Southern upland and riverine </w:t>
                </w:r>
                <w:proofErr w:type="spellStart"/>
                <w:r>
                  <w:t>ethnolinguistic</w:t>
                </w:r>
                <w:proofErr w:type="spellEnd"/>
                <w:r>
                  <w:t xml:space="preserve"> communities, as well as in the architecture, dress patterns, metal, and woodcraft of Muslim and </w:t>
                </w:r>
                <w:proofErr w:type="spellStart"/>
                <w:r>
                  <w:t>Lumad</w:t>
                </w:r>
                <w:proofErr w:type="spellEnd"/>
                <w:r>
                  <w:t xml:space="preserve"> communities in Mindanao.</w:t>
                </w:r>
              </w:p>
              <w:p w:rsidR="00BD2393" w:rsidRDefault="00BD2393" w:rsidP="00BD2393"/>
              <w:p w:rsidR="00BD2393" w:rsidRDefault="00BD2393" w:rsidP="00BD2393">
                <w:r>
                  <w:t xml:space="preserve">As opposed to Aguinaldo’s more isolated practice, </w:t>
                </w:r>
                <w:proofErr w:type="spellStart"/>
                <w:r>
                  <w:t>Joya’s</w:t>
                </w:r>
                <w:proofErr w:type="spellEnd"/>
                <w:r>
                  <w:t xml:space="preserve"> influence over successive generations of abstract painters came through his teaching at the University of the Philippines, College of Fine </w:t>
                </w:r>
                <w:r>
                  <w:lastRenderedPageBreak/>
                  <w:t xml:space="preserve">Arts. This allowed him to expand his network outside Manila, through the </w:t>
                </w:r>
                <w:proofErr w:type="spellStart"/>
                <w:r>
                  <w:t>Visayas</w:t>
                </w:r>
                <w:proofErr w:type="spellEnd"/>
                <w:r>
                  <w:t xml:space="preserve"> (via UP Cebu for instance). Other key artist/art educators are Florencio Concepcion (1933-2006) and </w:t>
                </w:r>
                <w:proofErr w:type="spellStart"/>
                <w:r>
                  <w:t>Constancio</w:t>
                </w:r>
                <w:proofErr w:type="spellEnd"/>
                <w:r>
                  <w:t xml:space="preserve"> Bernardo (1913-2013).  Concepcion took his postgraduate studies at the </w:t>
                </w:r>
                <w:proofErr w:type="spellStart"/>
                <w:r>
                  <w:t>Accademia</w:t>
                </w:r>
                <w:proofErr w:type="spellEnd"/>
                <w:r>
                  <w:t xml:space="preserve"> di Belle Arte in Rome and served as Dean of the University of the East College of Fine Arts.  Bernardo studied with </w:t>
                </w:r>
                <w:proofErr w:type="spellStart"/>
                <w:r w:rsidR="00664C75">
                  <w:t>José</w:t>
                </w:r>
                <w:r>
                  <w:t>ph</w:t>
                </w:r>
                <w:proofErr w:type="spellEnd"/>
                <w:r>
                  <w:t xml:space="preserve"> Albers at Yale University and eventually taught art at UP.  An earlier artist/art educator who similarly extended the reach and influence of abstraction was Fernando </w:t>
                </w:r>
                <w:proofErr w:type="spellStart"/>
                <w:r>
                  <w:t>Zobel</w:t>
                </w:r>
                <w:proofErr w:type="spellEnd"/>
                <w:r>
                  <w:t xml:space="preserve"> (1924-1984), who returned from Harvard University to the Philippines to produce a comparatively minimalist yet still gestural abstraction in the mid-fifties and sixties.   </w:t>
                </w:r>
                <w:proofErr w:type="spellStart"/>
                <w:r>
                  <w:t>Zobel</w:t>
                </w:r>
                <w:proofErr w:type="spellEnd"/>
                <w:r>
                  <w:t xml:space="preserve"> eventually settled in Spain to establish his painting practice alongside the launching of the Museum of Spanish Abstract Art in Cuenca.  However, before leaving the Philippines, </w:t>
                </w:r>
                <w:proofErr w:type="spellStart"/>
                <w:r>
                  <w:t>Zobel</w:t>
                </w:r>
                <w:proofErr w:type="spellEnd"/>
                <w:r>
                  <w:t xml:space="preserve"> first nurtured a progeny of Modernist advocate-critics, including Emmanuel Torres and Leonidas </w:t>
                </w:r>
                <w:proofErr w:type="spellStart"/>
                <w:r>
                  <w:t>Benesa</w:t>
                </w:r>
                <w:proofErr w:type="spellEnd"/>
                <w:r>
                  <w:t xml:space="preserve">, and bequeathed his seminal collection of early Philippine modernism to the </w:t>
                </w:r>
                <w:proofErr w:type="spellStart"/>
                <w:r>
                  <w:t>Ateneo</w:t>
                </w:r>
                <w:proofErr w:type="spellEnd"/>
                <w:r>
                  <w:t xml:space="preserve"> Art Gallery. </w:t>
                </w:r>
              </w:p>
              <w:p w:rsidR="00BD2393" w:rsidRDefault="00BD2393" w:rsidP="00BD2393">
                <w:r>
                  <w:t xml:space="preserve">Filipino critics including Torres have pegged </w:t>
                </w:r>
                <w:proofErr w:type="spellStart"/>
                <w:r>
                  <w:t>Zobel’s</w:t>
                </w:r>
                <w:proofErr w:type="spellEnd"/>
                <w:r>
                  <w:t xml:space="preserve"> Abstract Expressionist period as the years between 1954 and 1957, when he was regarded to have taken a “musical approach to painting” before shifting to a more chromatically streamlined calligraphic phase. More evident traces of gestural North American Abstract Expressionism are found in the work of </w:t>
                </w:r>
                <w:proofErr w:type="spellStart"/>
                <w:r>
                  <w:t>Joya</w:t>
                </w:r>
                <w:proofErr w:type="spellEnd"/>
                <w:r>
                  <w:t xml:space="preserve"> and Bernardo, whose paintings at times tended to radiate from a compositional core in contrast to the overall painting of American counterparts such as Jackson Pollock.   This inclination to build compositions around masses of texture and colour is also demonstrated in the works of Aguinaldo, who worked in this vein in the early sixties before taking on a more overtly geometric abstraction from the late sixties until his death.  A later generation of practitioners, whose collective works demonstrate the unconscious shifting across various streams of abstraction, include artists who have been intermittently associated with this type of painting: National Artist for Visual Arts J. </w:t>
                </w:r>
                <w:proofErr w:type="spellStart"/>
                <w:r>
                  <w:t>Elizalde</w:t>
                </w:r>
                <w:proofErr w:type="spellEnd"/>
                <w:r>
                  <w:t xml:space="preserve"> Navarro, Ray Albano, Florencio Concepcion, </w:t>
                </w:r>
                <w:proofErr w:type="spellStart"/>
                <w:r>
                  <w:t>Charito</w:t>
                </w:r>
                <w:proofErr w:type="spellEnd"/>
                <w:r>
                  <w:t xml:space="preserve"> </w:t>
                </w:r>
                <w:proofErr w:type="spellStart"/>
                <w:r>
                  <w:t>Bitanga</w:t>
                </w:r>
                <w:proofErr w:type="spellEnd"/>
                <w:r>
                  <w:t xml:space="preserve">, Phyllis </w:t>
                </w:r>
                <w:proofErr w:type="spellStart"/>
                <w:r>
                  <w:t>Zaballero</w:t>
                </w:r>
                <w:proofErr w:type="spellEnd"/>
                <w:r>
                  <w:t xml:space="preserve">, Oscar </w:t>
                </w:r>
                <w:proofErr w:type="spellStart"/>
                <w:r>
                  <w:t>Villamiel</w:t>
                </w:r>
                <w:proofErr w:type="spellEnd"/>
                <w:r>
                  <w:t xml:space="preserve">, and </w:t>
                </w:r>
                <w:proofErr w:type="spellStart"/>
                <w:r>
                  <w:t>Eghai</w:t>
                </w:r>
                <w:proofErr w:type="spellEnd"/>
                <w:r>
                  <w:t xml:space="preserve"> </w:t>
                </w:r>
                <w:proofErr w:type="spellStart"/>
                <w:r>
                  <w:t>Roxas</w:t>
                </w:r>
                <w:proofErr w:type="spellEnd"/>
                <w:r>
                  <w:t>, among many others.</w:t>
                </w:r>
              </w:p>
              <w:p w:rsidR="00BD2393" w:rsidRDefault="00BD2393" w:rsidP="00BD2393"/>
              <w:p w:rsidR="00BD2393" w:rsidRDefault="00BD2393" w:rsidP="00BD2393">
                <w:r>
                  <w:t xml:space="preserve">A distinct characteristic of Philippine Abstract Expressionism is its casual regard for gestural abandon.  In describing </w:t>
                </w:r>
                <w:proofErr w:type="spellStart"/>
                <w:r>
                  <w:t>Joya</w:t>
                </w:r>
                <w:proofErr w:type="spellEnd"/>
                <w:r>
                  <w:t xml:space="preserve">, </w:t>
                </w:r>
                <w:proofErr w:type="spellStart"/>
                <w:r>
                  <w:t>Benesa</w:t>
                </w:r>
                <w:proofErr w:type="spellEnd"/>
                <w:r>
                  <w:t xml:space="preserve"> (a key Filipino Modernist critic) states:  “a number of the drawings and sketches in the mid-sixties show that, however spontaneous and expressionistic the gestures of the artist may appear in the final work, in the tradition of action painting, they have been rehearsed beforehand through the various disciplines of linear melody and tonal rhythm.”  </w:t>
                </w:r>
                <w:proofErr w:type="spellStart"/>
                <w:r>
                  <w:t>Joya</w:t>
                </w:r>
                <w:proofErr w:type="spellEnd"/>
                <w:r>
                  <w:t xml:space="preserve">, as an illustrative case of his generation, eventually underwent </w:t>
                </w:r>
                <w:proofErr w:type="gramStart"/>
                <w:r>
                  <w:t>a liberation</w:t>
                </w:r>
                <w:proofErr w:type="gramEnd"/>
                <w:r>
                  <w:t xml:space="preserve"> of both his psyche and “the stiffness in his drawing hand” (obviously in reference to technique) upon leaving the country for further studies in Europe and the United States. </w:t>
                </w:r>
                <w:proofErr w:type="spellStart"/>
                <w:r>
                  <w:t>Benesa</w:t>
                </w:r>
                <w:proofErr w:type="spellEnd"/>
                <w:r>
                  <w:t xml:space="preserve"> would, at least partly, credit </w:t>
                </w:r>
                <w:proofErr w:type="spellStart"/>
                <w:r>
                  <w:t>Joya’s</w:t>
                </w:r>
                <w:proofErr w:type="spellEnd"/>
                <w:r>
                  <w:t xml:space="preserve"> overseas studies with the artist’s more visibly organic and charged approach to drawing—a shift to “rivulets of auto-creative line,” a logical development of privileging what was then regarded as a manifestation of the freedom of the artist to draw from an inner, as opposed to external or physical, reality.</w:t>
                </w:r>
              </w:p>
              <w:p w:rsidR="00BD2393" w:rsidRDefault="00BD2393" w:rsidP="00BD2393"/>
              <w:p w:rsidR="00BD2393" w:rsidRDefault="00BD2393" w:rsidP="00BD2393">
                <w:pPr>
                  <w:keepNext/>
                </w:pPr>
                <w:r>
                  <w:t xml:space="preserve">File: </w:t>
                </w:r>
                <w:r w:rsidR="00B949E9">
                  <w:t>Jose</w:t>
                </w:r>
                <w:r>
                  <w:t>-Joya.jpeg</w:t>
                </w:r>
              </w:p>
              <w:p w:rsidR="00BD2393" w:rsidRDefault="00E55FA2" w:rsidP="00BD2393">
                <w:pPr>
                  <w:pStyle w:val="Caption"/>
                </w:pPr>
                <w:fldSimple w:instr=" SEQ Figure \* ARABIC ">
                  <w:r w:rsidR="00BD2393">
                    <w:rPr>
                      <w:noProof/>
                    </w:rPr>
                    <w:t>1</w:t>
                  </w:r>
                </w:fldSimple>
                <w:r w:rsidR="00BD2393">
                  <w:t xml:space="preserve"> </w:t>
                </w:r>
                <w:r w:rsidR="00664C75">
                  <w:t>José</w:t>
                </w:r>
                <w:r w:rsidR="00BD2393" w:rsidRPr="004B6273">
                  <w:t xml:space="preserve"> </w:t>
                </w:r>
                <w:proofErr w:type="spellStart"/>
                <w:r w:rsidR="00BD2393" w:rsidRPr="004B6273">
                  <w:t>Joya</w:t>
                </w:r>
                <w:proofErr w:type="spellEnd"/>
                <w:r w:rsidR="00BD2393" w:rsidRPr="004B6273">
                  <w:t>, Hills of Nikko, 1964, 172 x 198.8 cm, Collection of National Museum of the Philippines</w:t>
                </w:r>
              </w:p>
              <w:p w:rsidR="00BD2393" w:rsidRDefault="00BD2393" w:rsidP="00BD2393">
                <w:r>
                  <w:t xml:space="preserve">Substantial anthropological and cultural scholarship has critically examined whether global pockets of Abstract Expressionism are merely derivative of American Abstract Expressionism.  These critical accounts have pointed out that, while Abstract Expressionism has become enfolded into a canon of art history predisposed to accounts of one-way </w:t>
                </w:r>
                <w:proofErr w:type="gramStart"/>
                <w:r>
                  <w:t>transfer,</w:t>
                </w:r>
                <w:proofErr w:type="gramEnd"/>
                <w:r>
                  <w:t xml:space="preserve"> its proponents have expressed a debt to Asian calligraphic scroll painting.   It is this assertion, encumbered with the post-colonial thrust to establish national identity, which appears to have persuaded artists including </w:t>
                </w:r>
                <w:proofErr w:type="spellStart"/>
                <w:r>
                  <w:t>Joya</w:t>
                </w:r>
                <w:proofErr w:type="spellEnd"/>
                <w:r>
                  <w:t xml:space="preserve"> to shift his abstraction, though arguably in a mitigated sense, to a referential phase where he would, for instance, render overtly Filipino icons like the Muslim </w:t>
                </w:r>
                <w:proofErr w:type="spellStart"/>
                <w:r>
                  <w:t>Torogan</w:t>
                </w:r>
                <w:proofErr w:type="spellEnd"/>
                <w:r>
                  <w:t xml:space="preserve"> (1985) using reductive line a</w:t>
                </w:r>
                <w:r w:rsidR="00DE06BF">
                  <w:t xml:space="preserve">nd colour.  Current scholarship </w:t>
                </w:r>
                <w:r>
                  <w:t>seem</w:t>
                </w:r>
                <w:r w:rsidR="00DE06BF">
                  <w:t>s</w:t>
                </w:r>
                <w:r>
                  <w:t xml:space="preserve"> to settle these art historical questions</w:t>
                </w:r>
                <w:r w:rsidR="00DE06BF">
                  <w:t xml:space="preserve"> by </w:t>
                </w:r>
                <w:r w:rsidR="00DE06BF">
                  <w:lastRenderedPageBreak/>
                  <w:t>invoking a form of artistic</w:t>
                </w:r>
                <w:r>
                  <w:t xml:space="preserve"> poaching</w:t>
                </w:r>
                <w:r w:rsidR="00DE06BF">
                  <w:t>,</w:t>
                </w:r>
                <w:r>
                  <w:t xml:space="preserve"> first </w:t>
                </w:r>
                <w:r w:rsidR="00DE06BF">
                  <w:t>as</w:t>
                </w:r>
                <w:r>
                  <w:t xml:space="preserve"> a </w:t>
                </w:r>
                <w:r w:rsidR="008A1AD0">
                  <w:t xml:space="preserve">more geometric </w:t>
                </w:r>
                <w:r w:rsidR="00DE06BF">
                  <w:t xml:space="preserve">abstraction, </w:t>
                </w:r>
                <w:r w:rsidR="008A1AD0">
                  <w:t>and</w:t>
                </w:r>
                <w:r w:rsidR="00DE06BF">
                  <w:t xml:space="preserve"> later involving</w:t>
                </w:r>
                <w:r>
                  <w:t xml:space="preserve"> a degree of </w:t>
                </w:r>
                <w:proofErr w:type="spellStart"/>
                <w:r>
                  <w:t>symbology</w:t>
                </w:r>
                <w:proofErr w:type="spellEnd"/>
                <w:r>
                  <w:t xml:space="preserve"> </w:t>
                </w:r>
                <w:r w:rsidR="00DE06BF">
                  <w:t xml:space="preserve">using </w:t>
                </w:r>
                <w:r w:rsidR="008A1AD0">
                  <w:t xml:space="preserve">the </w:t>
                </w:r>
                <w:r w:rsidR="00DE06BF">
                  <w:t>pre-colonial forms</w:t>
                </w:r>
                <w:r>
                  <w:t xml:space="preserve"> </w:t>
                </w:r>
                <w:r w:rsidR="00DE06BF">
                  <w:t>(cabalistic and mandala motifs) that</w:t>
                </w:r>
                <w:r>
                  <w:t xml:space="preserve"> became more </w:t>
                </w:r>
                <w:r w:rsidR="00DE06BF">
                  <w:t>widely circulated</w:t>
                </w:r>
                <w:r>
                  <w:t xml:space="preserve"> </w:t>
                </w:r>
                <w:r w:rsidR="00DE06BF">
                  <w:t xml:space="preserve">after the Second World War. </w:t>
                </w:r>
              </w:p>
              <w:p w:rsidR="003F0D73" w:rsidRDefault="003F0D73" w:rsidP="00C27FAB"/>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93C00233CEAA46B1936C5635C4DFCC9A"/>
              </w:placeholder>
            </w:sdtPr>
            <w:sdtEndPr/>
            <w:sdtContent>
              <w:p w:rsidR="007F2E51" w:rsidRDefault="007F2E51" w:rsidP="007F2E51"/>
              <w:p w:rsidR="007F2E51" w:rsidRDefault="000D3B91" w:rsidP="007F2E51">
                <w:sdt>
                  <w:sdtPr>
                    <w:id w:val="-1128011743"/>
                    <w:citation/>
                  </w:sdtPr>
                  <w:sdtEndPr/>
                  <w:sdtContent>
                    <w:r w:rsidR="007F2E51">
                      <w:fldChar w:fldCharType="begin"/>
                    </w:r>
                    <w:r w:rsidR="007F2E51">
                      <w:rPr>
                        <w:lang w:val="en-US"/>
                      </w:rPr>
                      <w:instrText xml:space="preserve"> CITATION Bel03 \l 1033 </w:instrText>
                    </w:r>
                    <w:r w:rsidR="007F2E51">
                      <w:fldChar w:fldCharType="separate"/>
                    </w:r>
                    <w:r w:rsidR="007F2E51">
                      <w:rPr>
                        <w:noProof/>
                        <w:lang w:val="en-US"/>
                      </w:rPr>
                      <w:t>(Beltran, 2003)</w:t>
                    </w:r>
                    <w:r w:rsidR="007F2E51">
                      <w:fldChar w:fldCharType="end"/>
                    </w:r>
                  </w:sdtContent>
                </w:sdt>
              </w:p>
              <w:p w:rsidR="007F2E51" w:rsidRDefault="007F2E51" w:rsidP="007F2E51"/>
              <w:p w:rsidR="007F2E51" w:rsidRDefault="000D3B91" w:rsidP="007F2E51">
                <w:sdt>
                  <w:sdtPr>
                    <w:id w:val="1298884045"/>
                    <w:citation/>
                  </w:sdtPr>
                  <w:sdtEndPr/>
                  <w:sdtContent>
                    <w:r w:rsidR="007F2E51">
                      <w:fldChar w:fldCharType="begin"/>
                    </w:r>
                    <w:r w:rsidR="007F2E51">
                      <w:rPr>
                        <w:lang w:val="en-US"/>
                      </w:rPr>
                      <w:instrText xml:space="preserve"> CITATION Gat92 \l 1033 </w:instrText>
                    </w:r>
                    <w:r w:rsidR="007F2E51">
                      <w:fldChar w:fldCharType="separate"/>
                    </w:r>
                    <w:r w:rsidR="007F2E51">
                      <w:rPr>
                        <w:noProof/>
                        <w:lang w:val="en-US"/>
                      </w:rPr>
                      <w:t>(Gatbonton, 1992)</w:t>
                    </w:r>
                    <w:r w:rsidR="007F2E51">
                      <w:fldChar w:fldCharType="end"/>
                    </w:r>
                  </w:sdtContent>
                </w:sdt>
              </w:p>
              <w:p w:rsidR="00EE29F1" w:rsidRDefault="00EE29F1" w:rsidP="007F2E51"/>
              <w:p w:rsidR="00EE29F1" w:rsidRDefault="000D3B91" w:rsidP="007F2E51">
                <w:sdt>
                  <w:sdtPr>
                    <w:id w:val="2132283455"/>
                    <w:citation/>
                  </w:sdtPr>
                  <w:sdtEndPr/>
                  <w:sdtContent>
                    <w:r w:rsidR="00EE29F1">
                      <w:fldChar w:fldCharType="begin"/>
                    </w:r>
                    <w:r w:rsidR="00EE29F1">
                      <w:rPr>
                        <w:lang w:val="en-US"/>
                      </w:rPr>
                      <w:instrText xml:space="preserve"> CITATION Her11 \l 1033 </w:instrText>
                    </w:r>
                    <w:r w:rsidR="00EE29F1">
                      <w:fldChar w:fldCharType="separate"/>
                    </w:r>
                    <w:r w:rsidR="00EE29F1">
                      <w:rPr>
                        <w:noProof/>
                        <w:lang w:val="en-US"/>
                      </w:rPr>
                      <w:t>(Herrera, M.V., Chikiamco, C. et al., 2011)</w:t>
                    </w:r>
                    <w:r w:rsidR="00EE29F1">
                      <w:fldChar w:fldCharType="end"/>
                    </w:r>
                  </w:sdtContent>
                </w:sdt>
              </w:p>
              <w:p w:rsidR="007F2E51" w:rsidRDefault="007F2E51" w:rsidP="007F2E51"/>
              <w:p w:rsidR="007F2E51" w:rsidRDefault="000D3B91" w:rsidP="007F2E51">
                <w:sdt>
                  <w:sdtPr>
                    <w:id w:val="-1767846711"/>
                    <w:citation/>
                  </w:sdtPr>
                  <w:sdtEndPr/>
                  <w:sdtContent>
                    <w:r w:rsidR="007F2E51">
                      <w:fldChar w:fldCharType="begin"/>
                    </w:r>
                    <w:r w:rsidR="007F2E51">
                      <w:rPr>
                        <w:lang w:val="en-US"/>
                      </w:rPr>
                      <w:instrText xml:space="preserve"> CITATION Joy73 \l 1033 </w:instrText>
                    </w:r>
                    <w:r w:rsidR="007F2E51">
                      <w:fldChar w:fldCharType="separate"/>
                    </w:r>
                    <w:r w:rsidR="007F2E51">
                      <w:rPr>
                        <w:noProof/>
                        <w:lang w:val="en-US"/>
                      </w:rPr>
                      <w:t xml:space="preserve"> (Joya, Jose and Leonidas V.Benesa, 1973)</w:t>
                    </w:r>
                    <w:r w:rsidR="007F2E51">
                      <w:fldChar w:fldCharType="end"/>
                    </w:r>
                  </w:sdtContent>
                </w:sdt>
              </w:p>
              <w:p w:rsidR="007F2E51" w:rsidRDefault="007F2E51" w:rsidP="007F2E51"/>
              <w:p w:rsidR="007F2E51" w:rsidRDefault="000D3B91" w:rsidP="007F2E51">
                <w:sdt>
                  <w:sdtPr>
                    <w:id w:val="1475414719"/>
                    <w:citation/>
                  </w:sdtPr>
                  <w:sdtEndPr/>
                  <w:sdtContent>
                    <w:r w:rsidR="007F2E51">
                      <w:fldChar w:fldCharType="begin"/>
                    </w:r>
                    <w:r w:rsidR="007F2E51">
                      <w:rPr>
                        <w:lang w:val="en-US"/>
                      </w:rPr>
                      <w:instrText xml:space="preserve">CITATION Joy96 \l 1033 </w:instrText>
                    </w:r>
                    <w:r w:rsidR="007F2E51">
                      <w:fldChar w:fldCharType="separate"/>
                    </w:r>
                    <w:r w:rsidR="007F2E51">
                      <w:rPr>
                        <w:noProof/>
                        <w:lang w:val="en-US"/>
                      </w:rPr>
                      <w:t>(Joya, 1996)</w:t>
                    </w:r>
                    <w:r w:rsidR="007F2E51">
                      <w:fldChar w:fldCharType="end"/>
                    </w:r>
                  </w:sdtContent>
                </w:sdt>
              </w:p>
              <w:p w:rsidR="00EE29F1" w:rsidRDefault="00EE29F1" w:rsidP="007F2E51"/>
              <w:p w:rsidR="00EE29F1" w:rsidRDefault="000D3B91" w:rsidP="007F2E51">
                <w:sdt>
                  <w:sdtPr>
                    <w:id w:val="375506353"/>
                    <w:citation/>
                  </w:sdtPr>
                  <w:sdtEndPr/>
                  <w:sdtContent>
                    <w:r w:rsidR="00EE29F1">
                      <w:fldChar w:fldCharType="begin"/>
                    </w:r>
                    <w:r w:rsidR="00EE29F1">
                      <w:rPr>
                        <w:lang w:val="en-US"/>
                      </w:rPr>
                      <w:instrText xml:space="preserve"> CITATION Led74 \l 1033 </w:instrText>
                    </w:r>
                    <w:r w:rsidR="00EE29F1">
                      <w:fldChar w:fldCharType="separate"/>
                    </w:r>
                    <w:r w:rsidR="00EE29F1">
                      <w:rPr>
                        <w:noProof/>
                        <w:lang w:val="en-US"/>
                      </w:rPr>
                      <w:t>(Ledesma, P. K. and Guerrero, A, 1974)</w:t>
                    </w:r>
                    <w:r w:rsidR="00EE29F1">
                      <w:fldChar w:fldCharType="end"/>
                    </w:r>
                  </w:sdtContent>
                </w:sdt>
              </w:p>
              <w:p w:rsidR="00EE29F1" w:rsidRDefault="00EE29F1" w:rsidP="007F2E51"/>
              <w:p w:rsidR="00EE29F1" w:rsidRDefault="000D3B91" w:rsidP="007F2E51">
                <w:sdt>
                  <w:sdtPr>
                    <w:id w:val="-973370373"/>
                    <w:citation/>
                  </w:sdtPr>
                  <w:sdtEndPr/>
                  <w:sdtContent>
                    <w:r w:rsidR="00EE29F1">
                      <w:fldChar w:fldCharType="begin"/>
                    </w:r>
                    <w:r w:rsidR="00EE29F1">
                      <w:rPr>
                        <w:lang w:val="en-US"/>
                      </w:rPr>
                      <w:instrText xml:space="preserve"> CITATION Rey89 \l 1033 </w:instrText>
                    </w:r>
                    <w:r w:rsidR="00EE29F1">
                      <w:fldChar w:fldCharType="separate"/>
                    </w:r>
                    <w:r w:rsidR="00EE29F1">
                      <w:rPr>
                        <w:noProof/>
                        <w:lang w:val="en-US"/>
                      </w:rPr>
                      <w:t>(Reyes, 1989)</w:t>
                    </w:r>
                    <w:r w:rsidR="00EE29F1">
                      <w:fldChar w:fldCharType="end"/>
                    </w:r>
                  </w:sdtContent>
                </w:sdt>
              </w:p>
              <w:p w:rsidR="00EE29F1" w:rsidRDefault="00EE29F1" w:rsidP="007F2E51"/>
              <w:p w:rsidR="00EE29F1" w:rsidRDefault="000D3B91" w:rsidP="007F2E51">
                <w:sdt>
                  <w:sdtPr>
                    <w:id w:val="1749619825"/>
                    <w:citation/>
                  </w:sdtPr>
                  <w:sdtEndPr/>
                  <w:sdtContent>
                    <w:r w:rsidR="00EE29F1">
                      <w:fldChar w:fldCharType="begin"/>
                    </w:r>
                    <w:r w:rsidR="00EE29F1">
                      <w:rPr>
                        <w:lang w:val="en-US"/>
                      </w:rPr>
                      <w:instrText xml:space="preserve"> CITATION Tor94 \l 1033 </w:instrText>
                    </w:r>
                    <w:r w:rsidR="00EE29F1">
                      <w:fldChar w:fldCharType="separate"/>
                    </w:r>
                    <w:r w:rsidR="00EE29F1">
                      <w:rPr>
                        <w:noProof/>
                        <w:lang w:val="en-US"/>
                      </w:rPr>
                      <w:t>(Torres, 1994)</w:t>
                    </w:r>
                    <w:r w:rsidR="00EE29F1">
                      <w:fldChar w:fldCharType="end"/>
                    </w:r>
                  </w:sdtContent>
                </w:sdt>
              </w:p>
              <w:p w:rsidR="00EE29F1" w:rsidRDefault="00EE29F1" w:rsidP="007F2E51"/>
              <w:p w:rsidR="003235A7" w:rsidRDefault="000D3B91" w:rsidP="007F2E51"/>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3B91" w:rsidRDefault="000D3B91" w:rsidP="007A0D55">
      <w:pPr>
        <w:spacing w:after="0" w:line="240" w:lineRule="auto"/>
      </w:pPr>
      <w:r>
        <w:separator/>
      </w:r>
    </w:p>
  </w:endnote>
  <w:endnote w:type="continuationSeparator" w:id="0">
    <w:p w:rsidR="000D3B91" w:rsidRDefault="000D3B9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3B91" w:rsidRDefault="000D3B91" w:rsidP="007A0D55">
      <w:pPr>
        <w:spacing w:after="0" w:line="240" w:lineRule="auto"/>
      </w:pPr>
      <w:r>
        <w:separator/>
      </w:r>
    </w:p>
  </w:footnote>
  <w:footnote w:type="continuationSeparator" w:id="0">
    <w:p w:rsidR="000D3B91" w:rsidRDefault="000D3B91"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13AF"/>
    <w:rsid w:val="00027FAE"/>
    <w:rsid w:val="00032559"/>
    <w:rsid w:val="00052040"/>
    <w:rsid w:val="000B25AE"/>
    <w:rsid w:val="000B55AB"/>
    <w:rsid w:val="000D24DC"/>
    <w:rsid w:val="000D3B91"/>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64C75"/>
    <w:rsid w:val="006D0412"/>
    <w:rsid w:val="007411B9"/>
    <w:rsid w:val="00780D95"/>
    <w:rsid w:val="00780DC7"/>
    <w:rsid w:val="007A0D55"/>
    <w:rsid w:val="007B3377"/>
    <w:rsid w:val="007E5F44"/>
    <w:rsid w:val="007F2E51"/>
    <w:rsid w:val="00821DE3"/>
    <w:rsid w:val="00846CE1"/>
    <w:rsid w:val="008A1AD0"/>
    <w:rsid w:val="008A5B87"/>
    <w:rsid w:val="00922950"/>
    <w:rsid w:val="00964585"/>
    <w:rsid w:val="009A7264"/>
    <w:rsid w:val="009D1606"/>
    <w:rsid w:val="009E18A1"/>
    <w:rsid w:val="009E73D7"/>
    <w:rsid w:val="00A27D2C"/>
    <w:rsid w:val="00A76FD9"/>
    <w:rsid w:val="00AB436D"/>
    <w:rsid w:val="00AD2F24"/>
    <w:rsid w:val="00AD4844"/>
    <w:rsid w:val="00B219AE"/>
    <w:rsid w:val="00B33145"/>
    <w:rsid w:val="00B574C9"/>
    <w:rsid w:val="00B949E9"/>
    <w:rsid w:val="00BC39C9"/>
    <w:rsid w:val="00BD2393"/>
    <w:rsid w:val="00BE5BF7"/>
    <w:rsid w:val="00BF40E1"/>
    <w:rsid w:val="00C27FAB"/>
    <w:rsid w:val="00C358D4"/>
    <w:rsid w:val="00C6296B"/>
    <w:rsid w:val="00CC586D"/>
    <w:rsid w:val="00CF1542"/>
    <w:rsid w:val="00CF3EC5"/>
    <w:rsid w:val="00D313AF"/>
    <w:rsid w:val="00D656DA"/>
    <w:rsid w:val="00D83300"/>
    <w:rsid w:val="00DC6B48"/>
    <w:rsid w:val="00DE06BF"/>
    <w:rsid w:val="00DF01B0"/>
    <w:rsid w:val="00E55FA2"/>
    <w:rsid w:val="00E85A05"/>
    <w:rsid w:val="00E95829"/>
    <w:rsid w:val="00EA606C"/>
    <w:rsid w:val="00EB0C8C"/>
    <w:rsid w:val="00EB51FD"/>
    <w:rsid w:val="00EB77DB"/>
    <w:rsid w:val="00ED139F"/>
    <w:rsid w:val="00EE29F1"/>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1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AF"/>
    <w:rPr>
      <w:rFonts w:ascii="Tahoma" w:hAnsi="Tahoma" w:cs="Tahoma"/>
      <w:sz w:val="16"/>
      <w:szCs w:val="16"/>
    </w:rPr>
  </w:style>
  <w:style w:type="paragraph" w:styleId="Caption">
    <w:name w:val="caption"/>
    <w:basedOn w:val="Normal"/>
    <w:next w:val="Normal"/>
    <w:uiPriority w:val="35"/>
    <w:semiHidden/>
    <w:qFormat/>
    <w:rsid w:val="00BD2393"/>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13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13AF"/>
    <w:rPr>
      <w:rFonts w:ascii="Tahoma" w:hAnsi="Tahoma" w:cs="Tahoma"/>
      <w:sz w:val="16"/>
      <w:szCs w:val="16"/>
    </w:rPr>
  </w:style>
  <w:style w:type="paragraph" w:styleId="Caption">
    <w:name w:val="caption"/>
    <w:basedOn w:val="Normal"/>
    <w:next w:val="Normal"/>
    <w:uiPriority w:val="35"/>
    <w:semiHidden/>
    <w:qFormat/>
    <w:rsid w:val="00BD2393"/>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484FB114DAF4B83886F1F6290561F85"/>
        <w:category>
          <w:name w:val="General"/>
          <w:gallery w:val="placeholder"/>
        </w:category>
        <w:types>
          <w:type w:val="bbPlcHdr"/>
        </w:types>
        <w:behaviors>
          <w:behavior w:val="content"/>
        </w:behaviors>
        <w:guid w:val="{A40A0DF7-F2AB-4493-A6E2-96E0F807A73A}"/>
      </w:docPartPr>
      <w:docPartBody>
        <w:p w:rsidR="002B3856" w:rsidRDefault="000A710E">
          <w:pPr>
            <w:pStyle w:val="2484FB114DAF4B83886F1F6290561F85"/>
          </w:pPr>
          <w:r w:rsidRPr="00CC586D">
            <w:rPr>
              <w:rStyle w:val="PlaceholderText"/>
              <w:b/>
              <w:color w:val="FFFFFF" w:themeColor="background1"/>
            </w:rPr>
            <w:t>[Salutation]</w:t>
          </w:r>
        </w:p>
      </w:docPartBody>
    </w:docPart>
    <w:docPart>
      <w:docPartPr>
        <w:name w:val="EE745F21C09E4E40B174F8180A862DDA"/>
        <w:category>
          <w:name w:val="General"/>
          <w:gallery w:val="placeholder"/>
        </w:category>
        <w:types>
          <w:type w:val="bbPlcHdr"/>
        </w:types>
        <w:behaviors>
          <w:behavior w:val="content"/>
        </w:behaviors>
        <w:guid w:val="{8C2185C2-4141-4C07-A884-E304D7B2A976}"/>
      </w:docPartPr>
      <w:docPartBody>
        <w:p w:rsidR="002B3856" w:rsidRDefault="000A710E">
          <w:pPr>
            <w:pStyle w:val="EE745F21C09E4E40B174F8180A862DDA"/>
          </w:pPr>
          <w:r>
            <w:rPr>
              <w:rStyle w:val="PlaceholderText"/>
            </w:rPr>
            <w:t>[First name]</w:t>
          </w:r>
        </w:p>
      </w:docPartBody>
    </w:docPart>
    <w:docPart>
      <w:docPartPr>
        <w:name w:val="C408A86994F14DEABF42F9911974CEDF"/>
        <w:category>
          <w:name w:val="General"/>
          <w:gallery w:val="placeholder"/>
        </w:category>
        <w:types>
          <w:type w:val="bbPlcHdr"/>
        </w:types>
        <w:behaviors>
          <w:behavior w:val="content"/>
        </w:behaviors>
        <w:guid w:val="{BC6640C6-B699-4728-A34C-B012FF13DD81}"/>
      </w:docPartPr>
      <w:docPartBody>
        <w:p w:rsidR="002B3856" w:rsidRDefault="000A710E">
          <w:pPr>
            <w:pStyle w:val="C408A86994F14DEABF42F9911974CEDF"/>
          </w:pPr>
          <w:r>
            <w:rPr>
              <w:rStyle w:val="PlaceholderText"/>
            </w:rPr>
            <w:t>[Middle name]</w:t>
          </w:r>
        </w:p>
      </w:docPartBody>
    </w:docPart>
    <w:docPart>
      <w:docPartPr>
        <w:name w:val="3A89316359614E1FB672E6E9A254923E"/>
        <w:category>
          <w:name w:val="General"/>
          <w:gallery w:val="placeholder"/>
        </w:category>
        <w:types>
          <w:type w:val="bbPlcHdr"/>
        </w:types>
        <w:behaviors>
          <w:behavior w:val="content"/>
        </w:behaviors>
        <w:guid w:val="{AD86E7B7-F4C2-465C-9017-7DEA15DF67B7}"/>
      </w:docPartPr>
      <w:docPartBody>
        <w:p w:rsidR="002B3856" w:rsidRDefault="000A710E">
          <w:pPr>
            <w:pStyle w:val="3A89316359614E1FB672E6E9A254923E"/>
          </w:pPr>
          <w:r>
            <w:rPr>
              <w:rStyle w:val="PlaceholderText"/>
            </w:rPr>
            <w:t>[Last name]</w:t>
          </w:r>
        </w:p>
      </w:docPartBody>
    </w:docPart>
    <w:docPart>
      <w:docPartPr>
        <w:name w:val="2D6DBA345C5340068F61E286D93C0683"/>
        <w:category>
          <w:name w:val="General"/>
          <w:gallery w:val="placeholder"/>
        </w:category>
        <w:types>
          <w:type w:val="bbPlcHdr"/>
        </w:types>
        <w:behaviors>
          <w:behavior w:val="content"/>
        </w:behaviors>
        <w:guid w:val="{B9851F04-2568-4CA3-8FE2-BC87A427D6C0}"/>
      </w:docPartPr>
      <w:docPartBody>
        <w:p w:rsidR="002B3856" w:rsidRDefault="000A710E">
          <w:pPr>
            <w:pStyle w:val="2D6DBA345C5340068F61E286D93C0683"/>
          </w:pPr>
          <w:r>
            <w:rPr>
              <w:rStyle w:val="PlaceholderText"/>
            </w:rPr>
            <w:t>[Enter your biography]</w:t>
          </w:r>
        </w:p>
      </w:docPartBody>
    </w:docPart>
    <w:docPart>
      <w:docPartPr>
        <w:name w:val="4A55E839B06C4534AA86D7987C8C6296"/>
        <w:category>
          <w:name w:val="General"/>
          <w:gallery w:val="placeholder"/>
        </w:category>
        <w:types>
          <w:type w:val="bbPlcHdr"/>
        </w:types>
        <w:behaviors>
          <w:behavior w:val="content"/>
        </w:behaviors>
        <w:guid w:val="{39162A95-1D35-4FC8-B870-6CBAFEB94573}"/>
      </w:docPartPr>
      <w:docPartBody>
        <w:p w:rsidR="002B3856" w:rsidRDefault="000A710E">
          <w:pPr>
            <w:pStyle w:val="4A55E839B06C4534AA86D7987C8C6296"/>
          </w:pPr>
          <w:r>
            <w:rPr>
              <w:rStyle w:val="PlaceholderText"/>
            </w:rPr>
            <w:t>[Enter the institution with which you are affiliated]</w:t>
          </w:r>
        </w:p>
      </w:docPartBody>
    </w:docPart>
    <w:docPart>
      <w:docPartPr>
        <w:name w:val="6FD464367D5B4728BE09FD052C16F0A5"/>
        <w:category>
          <w:name w:val="General"/>
          <w:gallery w:val="placeholder"/>
        </w:category>
        <w:types>
          <w:type w:val="bbPlcHdr"/>
        </w:types>
        <w:behaviors>
          <w:behavior w:val="content"/>
        </w:behaviors>
        <w:guid w:val="{2D6B15B9-4F65-4CE2-9DA2-FD6DF6D57F7F}"/>
      </w:docPartPr>
      <w:docPartBody>
        <w:p w:rsidR="002B3856" w:rsidRDefault="000A710E">
          <w:pPr>
            <w:pStyle w:val="6FD464367D5B4728BE09FD052C16F0A5"/>
          </w:pPr>
          <w:r w:rsidRPr="00EF74F7">
            <w:rPr>
              <w:b/>
              <w:color w:val="808080" w:themeColor="background1" w:themeShade="80"/>
            </w:rPr>
            <w:t>[Enter the headword for your article]</w:t>
          </w:r>
        </w:p>
      </w:docPartBody>
    </w:docPart>
    <w:docPart>
      <w:docPartPr>
        <w:name w:val="ABC3C806FFE2429A9B9532EE37C9E834"/>
        <w:category>
          <w:name w:val="General"/>
          <w:gallery w:val="placeholder"/>
        </w:category>
        <w:types>
          <w:type w:val="bbPlcHdr"/>
        </w:types>
        <w:behaviors>
          <w:behavior w:val="content"/>
        </w:behaviors>
        <w:guid w:val="{B6F5D849-0F8A-491F-B217-4D4937A6748D}"/>
      </w:docPartPr>
      <w:docPartBody>
        <w:p w:rsidR="002B3856" w:rsidRDefault="000A710E">
          <w:pPr>
            <w:pStyle w:val="ABC3C806FFE2429A9B9532EE37C9E83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BCF4ED270384DB5A414365234D89519"/>
        <w:category>
          <w:name w:val="General"/>
          <w:gallery w:val="placeholder"/>
        </w:category>
        <w:types>
          <w:type w:val="bbPlcHdr"/>
        </w:types>
        <w:behaviors>
          <w:behavior w:val="content"/>
        </w:behaviors>
        <w:guid w:val="{D202BD49-A5D2-4681-8C1D-32D373618FE4}"/>
      </w:docPartPr>
      <w:docPartBody>
        <w:p w:rsidR="002B3856" w:rsidRDefault="000A710E">
          <w:pPr>
            <w:pStyle w:val="BBCF4ED270384DB5A414365234D89519"/>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AAE43439AA440F1B1B9A2C583F2683D"/>
        <w:category>
          <w:name w:val="General"/>
          <w:gallery w:val="placeholder"/>
        </w:category>
        <w:types>
          <w:type w:val="bbPlcHdr"/>
        </w:types>
        <w:behaviors>
          <w:behavior w:val="content"/>
        </w:behaviors>
        <w:guid w:val="{FC6EE4D7-2DA6-418C-B2E7-34CB2D290DA5}"/>
      </w:docPartPr>
      <w:docPartBody>
        <w:p w:rsidR="002B3856" w:rsidRDefault="000A710E">
          <w:pPr>
            <w:pStyle w:val="0AAE43439AA440F1B1B9A2C583F2683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3C00233CEAA46B1936C5635C4DFCC9A"/>
        <w:category>
          <w:name w:val="General"/>
          <w:gallery w:val="placeholder"/>
        </w:category>
        <w:types>
          <w:type w:val="bbPlcHdr"/>
        </w:types>
        <w:behaviors>
          <w:behavior w:val="content"/>
        </w:behaviors>
        <w:guid w:val="{06E738AD-CB09-4AD8-942D-1351A2653572}"/>
      </w:docPartPr>
      <w:docPartBody>
        <w:p w:rsidR="002B3856" w:rsidRDefault="000A710E">
          <w:pPr>
            <w:pStyle w:val="93C00233CEAA46B1936C5635C4DFCC9A"/>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710E"/>
    <w:rsid w:val="000A710E"/>
    <w:rsid w:val="0027128B"/>
    <w:rsid w:val="002B3856"/>
    <w:rsid w:val="003E3CB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484FB114DAF4B83886F1F6290561F85">
    <w:name w:val="2484FB114DAF4B83886F1F6290561F85"/>
  </w:style>
  <w:style w:type="paragraph" w:customStyle="1" w:styleId="EE745F21C09E4E40B174F8180A862DDA">
    <w:name w:val="EE745F21C09E4E40B174F8180A862DDA"/>
  </w:style>
  <w:style w:type="paragraph" w:customStyle="1" w:styleId="C408A86994F14DEABF42F9911974CEDF">
    <w:name w:val="C408A86994F14DEABF42F9911974CEDF"/>
  </w:style>
  <w:style w:type="paragraph" w:customStyle="1" w:styleId="3A89316359614E1FB672E6E9A254923E">
    <w:name w:val="3A89316359614E1FB672E6E9A254923E"/>
  </w:style>
  <w:style w:type="paragraph" w:customStyle="1" w:styleId="2D6DBA345C5340068F61E286D93C0683">
    <w:name w:val="2D6DBA345C5340068F61E286D93C0683"/>
  </w:style>
  <w:style w:type="paragraph" w:customStyle="1" w:styleId="4A55E839B06C4534AA86D7987C8C6296">
    <w:name w:val="4A55E839B06C4534AA86D7987C8C6296"/>
  </w:style>
  <w:style w:type="paragraph" w:customStyle="1" w:styleId="6FD464367D5B4728BE09FD052C16F0A5">
    <w:name w:val="6FD464367D5B4728BE09FD052C16F0A5"/>
  </w:style>
  <w:style w:type="paragraph" w:customStyle="1" w:styleId="ABC3C806FFE2429A9B9532EE37C9E834">
    <w:name w:val="ABC3C806FFE2429A9B9532EE37C9E834"/>
  </w:style>
  <w:style w:type="paragraph" w:customStyle="1" w:styleId="BBCF4ED270384DB5A414365234D89519">
    <w:name w:val="BBCF4ED270384DB5A414365234D89519"/>
  </w:style>
  <w:style w:type="paragraph" w:customStyle="1" w:styleId="0AAE43439AA440F1B1B9A2C583F2683D">
    <w:name w:val="0AAE43439AA440F1B1B9A2C583F2683D"/>
  </w:style>
  <w:style w:type="paragraph" w:customStyle="1" w:styleId="93C00233CEAA46B1936C5635C4DFCC9A">
    <w:name w:val="93C00233CEAA46B1936C5635C4DFCC9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2484FB114DAF4B83886F1F6290561F85">
    <w:name w:val="2484FB114DAF4B83886F1F6290561F85"/>
  </w:style>
  <w:style w:type="paragraph" w:customStyle="1" w:styleId="EE745F21C09E4E40B174F8180A862DDA">
    <w:name w:val="EE745F21C09E4E40B174F8180A862DDA"/>
  </w:style>
  <w:style w:type="paragraph" w:customStyle="1" w:styleId="C408A86994F14DEABF42F9911974CEDF">
    <w:name w:val="C408A86994F14DEABF42F9911974CEDF"/>
  </w:style>
  <w:style w:type="paragraph" w:customStyle="1" w:styleId="3A89316359614E1FB672E6E9A254923E">
    <w:name w:val="3A89316359614E1FB672E6E9A254923E"/>
  </w:style>
  <w:style w:type="paragraph" w:customStyle="1" w:styleId="2D6DBA345C5340068F61E286D93C0683">
    <w:name w:val="2D6DBA345C5340068F61E286D93C0683"/>
  </w:style>
  <w:style w:type="paragraph" w:customStyle="1" w:styleId="4A55E839B06C4534AA86D7987C8C6296">
    <w:name w:val="4A55E839B06C4534AA86D7987C8C6296"/>
  </w:style>
  <w:style w:type="paragraph" w:customStyle="1" w:styleId="6FD464367D5B4728BE09FD052C16F0A5">
    <w:name w:val="6FD464367D5B4728BE09FD052C16F0A5"/>
  </w:style>
  <w:style w:type="paragraph" w:customStyle="1" w:styleId="ABC3C806FFE2429A9B9532EE37C9E834">
    <w:name w:val="ABC3C806FFE2429A9B9532EE37C9E834"/>
  </w:style>
  <w:style w:type="paragraph" w:customStyle="1" w:styleId="BBCF4ED270384DB5A414365234D89519">
    <w:name w:val="BBCF4ED270384DB5A414365234D89519"/>
  </w:style>
  <w:style w:type="paragraph" w:customStyle="1" w:styleId="0AAE43439AA440F1B1B9A2C583F2683D">
    <w:name w:val="0AAE43439AA440F1B1B9A2C583F2683D"/>
  </w:style>
  <w:style w:type="paragraph" w:customStyle="1" w:styleId="93C00233CEAA46B1936C5635C4DFCC9A">
    <w:name w:val="93C00233CEAA46B1936C5635C4DFCC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Joy73</b:Tag>
    <b:SourceType>Book</b:SourceType>
    <b:Guid>{187B6B2C-B5E8-45F8-B0A0-0886CA9640BA}</b:Guid>
    <b:Author>
      <b:Author>
        <b:Corporate>Joya, Jose and Leonidas V.Benesa</b:Corporate>
      </b:Author>
    </b:Author>
    <b:Title>Joya Drawings</b:Title>
    <b:Year>1973</b:Year>
    <b:City>Manila</b:City>
    <b:Publisher>Vera-Reyes, Inc</b:Publisher>
    <b:RefOrder>4</b:RefOrder>
  </b:Source>
  <b:Source>
    <b:Tag>Joy96</b:Tag>
    <b:SourceType>Book</b:SourceType>
    <b:Guid>{B51C8429-1261-4EDC-BC4B-63B286D258A8}</b:Guid>
    <b:Author>
      <b:Author>
        <b:NameList>
          <b:Person>
            <b:Last>Joya</b:Last>
            <b:First>Jose</b:First>
          </b:Person>
        </b:NameList>
      </b:Author>
    </b:Author>
    <b:Title>Joya</b:Title>
    <b:Year>1996</b:Year>
    <b:City>Manila</b:City>
    <b:Publisher>D. Baldovino Enterprises</b:Publisher>
    <b:Comments>This monograph includes a foreword by National Artist for Literature Francisco Arcellana and color- of a range of the artist’s body of work.  The publication is released via his brother-in-law’s office.</b:Comments>
    <b:RefOrder>5</b:RefOrder>
  </b:Source>
  <b:Source>
    <b:Tag>Bel03</b:Tag>
    <b:SourceType>Book</b:SourceType>
    <b:Guid>{3CF8BD97-7593-45F4-9E7B-3A3130483B08}</b:Guid>
    <b:Title>The National Artists of the Philippines 1999-2003</b:Title>
    <b:Year>2003</b:Year>
    <b:City>Manila</b:City>
    <b:Publisher>National Commission for Culture and the Arts</b:Publisher>
    <b:Author>
      <b:Editor>
        <b:NameList>
          <b:Person>
            <b:Last>Beltran</b:Last>
            <b:First>H.</b:First>
            <b:Middle>Jr.</b:Middle>
          </b:Person>
        </b:NameList>
      </b:Editor>
    </b:Author>
    <b:Volume>2</b:Volume>
    <b:RefOrder>1</b:RefOrder>
  </b:Source>
  <b:Source>
    <b:Tag>Gat92</b:Tag>
    <b:SourceType>Book</b:SourceType>
    <b:Guid>{B824FD1C-E692-45AB-BB0C-95FFB6A4F5E3}</b:Guid>
    <b:Title>Art Philippines</b:Title>
    <b:Year>1992</b:Year>
    <b:City>Manila</b:City>
    <b:Publisher>The Crucible Workshop</b:Publisher>
    <b:Author>
      <b:Editor>
        <b:NameList>
          <b:Person>
            <b:Last>Gatbonton</b:Last>
            <b:First>J.</b:First>
          </b:Person>
        </b:NameList>
      </b:Editor>
    </b:Author>
    <b:Comments>Traces the rise of Philippine abstraction to post-WWII, emergence of Neo-Realism, and influx of information on international modernist tendencies. This case is made primarily by Emmanuel Torres' essay on the 1950s.</b:Comments>
    <b:Medium>Print</b:Medium>
    <b:RefOrder>2</b:RefOrder>
  </b:Source>
  <b:Source>
    <b:Tag>Her11</b:Tag>
    <b:SourceType>Book</b:SourceType>
    <b:Guid>{A8E1EFE3-29E7-40A0-A3B4-E21A83409427}</b:Guid>
    <b:Author>
      <b:Author>
        <b:Corporate>Herrera, M.V., Chikiamco, C. et al.</b:Corporate>
      </b:Author>
    </b:Author>
    <b:Title>The Life and Art of Lee Aguinaldo</b:Title>
    <b:Year>2011</b:Year>
    <b:City>Manila</b:City>
    <b:Publisher>Vibal Foundation</b:Publisher>
    <b:Comments>A comprehensive monograph on one of the two major proponents of Philippine Abstract Expressionism.</b:Comments>
    <b:RefOrder>3</b:RefOrder>
  </b:Source>
  <b:Source>
    <b:Tag>Led74</b:Tag>
    <b:SourceType>Book</b:SourceType>
    <b:Guid>{85DA54CE-69BF-4264-AEBF-4BA3B656B928}</b:Guid>
    <b:Author>
      <b:Author>
        <b:Corporate>Ledesma, P. K. and Guerrero, A</b:Corporate>
      </b:Author>
    </b:Author>
    <b:Title>The Struggle for Philippine Art</b:Title>
    <b:Year>1974</b:Year>
    <b:City>Manila</b:City>
    <b:Publisher>Purita Kalaw Ledesma</b:Publisher>
    <b:Comments>An embedded account of the emergent years of Philippine modernism by the pioneering head of the Art Association of the Philippines.</b:Comments>
    <b:RefOrder>6</b:RefOrder>
  </b:Source>
  <b:Source>
    <b:Tag>Rey89</b:Tag>
    <b:SourceType>Book</b:SourceType>
    <b:Guid>{F5E14455-3E6D-477A-A5BA-C90F34E4F2E4}</b:Guid>
    <b:Author>
      <b:Author>
        <b:NameList>
          <b:Person>
            <b:Last>Reyes</b:Last>
            <b:First>C</b:First>
          </b:Person>
        </b:NameList>
      </b:Author>
    </b:Author>
    <b:Title>Conversations on Philippine Art</b:Title>
    <b:Year>1989</b:Year>
    <b:City>Manila</b:City>
    <b:Publisher>Cultural Center of the Philippines</b:Publisher>
    <b:Comments>Substantial interviews on stylistic development with artists including Lee Aguinaldo and Jose Joya, covers an account of Joya’s formative years while on grants in Europe and America.</b:Comments>
    <b:RefOrder>7</b:RefOrder>
  </b:Source>
  <b:Source>
    <b:Tag>Tor94</b:Tag>
    <b:SourceType>Book</b:SourceType>
    <b:Guid>{8B807CF5-0F52-42AD-9EB1-B2F5C66A9A70}</b:Guid>
    <b:Author>
      <b:Author>
        <b:NameList>
          <b:Person>
            <b:Last>Torres</b:Last>
            <b:First>E</b:First>
          </b:Person>
        </b:NameList>
      </b:Author>
    </b:Author>
    <b:Title>Philippine Abstract Painting</b:Title>
    <b:Year>1994</b:Year>
    <b:City>Manila</b:City>
    <b:Publisher>Cultural Centre of the Philippines</b:Publisher>
    <b:Comments>Post-exhibit publication in line with the exhibition Fifty Years of Philippine Abstract Painting held at the CCP from October-December 1991.</b:Comments>
    <b:RefOrder>8</b:RefOrder>
  </b:Source>
</b:Sources>
</file>

<file path=customXml/itemProps1.xml><?xml version="1.0" encoding="utf-8"?>
<ds:datastoreItem xmlns:ds="http://schemas.openxmlformats.org/officeDocument/2006/customXml" ds:itemID="{7A1162A7-8A4A-490B-93FD-29F00E8057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33</TotalTime>
  <Pages>3</Pages>
  <Words>1246</Words>
  <Characters>7105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8</cp:revision>
  <dcterms:created xsi:type="dcterms:W3CDTF">2014-05-21T19:00:00Z</dcterms:created>
  <dcterms:modified xsi:type="dcterms:W3CDTF">2014-05-28T01:58:00Z</dcterms:modified>
</cp:coreProperties>
</file>