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F52D25">
        <w:trPr>
          <w:trHeight w:val="300"/>
        </w:trPr>
        <w:tc>
          <w:tcPr>
            <w:tcW w:w="491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About you</w:t>
            </w:r>
          </w:p>
        </w:tc>
        <w:tc>
          <w:tcPr>
            <w:tcW w:w="12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[Salutation]</w:t>
            </w:r>
          </w:p>
        </w:tc>
        <w:tc>
          <w:tcPr>
            <w:tcW w:w="20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Maria</w:t>
            </w:r>
          </w:p>
        </w:tc>
        <w:tc>
          <w:tcPr>
            <w:tcW w:w="25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[Middle name]</w:t>
            </w:r>
          </w:p>
        </w:tc>
        <w:tc>
          <w:tcPr>
            <w:tcW w:w="26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480" w:lineRule="auto"/>
              <w:jc w:val="both"/>
            </w:pPr>
            <w:r>
              <w:rPr>
                <w:rFonts w:ascii="Times New Roman"/>
                <w:sz w:val="24"/>
                <w:szCs w:val="24"/>
              </w:rPr>
              <w:t>Ioni</w:t>
            </w:r>
            <w:r>
              <w:rPr>
                <w:rFonts w:hAnsi="Times New Roman"/>
                <w:sz w:val="24"/>
                <w:szCs w:val="24"/>
              </w:rPr>
              <w:t>ț</w:t>
            </w:r>
            <w:r>
              <w:rPr>
                <w:rFonts w:hAnsi="Times New Roman"/>
                <w:sz w:val="24"/>
                <w:szCs w:val="24"/>
              </w:rPr>
              <w:t>ă</w:t>
            </w:r>
          </w:p>
        </w:tc>
      </w:tr>
      <w:tr w:rsidR="00F52D25">
        <w:trPr>
          <w:trHeight w:val="826"/>
        </w:trPr>
        <w:tc>
          <w:tcPr>
            <w:tcW w:w="491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</w:tcPr>
          <w:p w:rsidR="00F52D25" w:rsidRDefault="00F52D25"/>
        </w:tc>
        <w:tc>
          <w:tcPr>
            <w:tcW w:w="852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[Enter your biography]</w:t>
            </w:r>
          </w:p>
        </w:tc>
      </w:tr>
      <w:tr w:rsidR="00F52D25">
        <w:trPr>
          <w:trHeight w:val="826"/>
        </w:trPr>
        <w:tc>
          <w:tcPr>
            <w:tcW w:w="491" w:type="dxa"/>
            <w:vMerge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</w:tcPr>
          <w:p w:rsidR="00F52D25" w:rsidRDefault="00F52D25"/>
        </w:tc>
        <w:tc>
          <w:tcPr>
            <w:tcW w:w="8525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</w:pPr>
            <w:r>
              <w:rPr>
                <w:color w:val="808080"/>
                <w:u w:color="808080"/>
                <w:lang w:val="en-US"/>
              </w:rPr>
              <w:t>Ryerson University</w:t>
            </w:r>
          </w:p>
        </w:tc>
      </w:tr>
    </w:tbl>
    <w:p w:rsidR="00F52D25" w:rsidRDefault="00F52D25">
      <w:pPr>
        <w:pStyle w:val="Body"/>
        <w:spacing w:line="240" w:lineRule="auto"/>
      </w:pPr>
    </w:p>
    <w:p w:rsidR="00F52D25" w:rsidRDefault="00F52D25">
      <w:pPr>
        <w:pStyle w:val="Body"/>
      </w:pPr>
    </w:p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F52D25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jc w:val="center"/>
            </w:pPr>
            <w:r>
              <w:rPr>
                <w:b/>
                <w:bCs/>
                <w:color w:val="FFFFFF"/>
                <w:u w:color="FFFFFF"/>
                <w:lang w:val="en-US"/>
              </w:rPr>
              <w:t>Your article</w:t>
            </w:r>
          </w:p>
        </w:tc>
      </w:tr>
      <w:tr w:rsidR="00F52D25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</w:pPr>
            <w:r>
              <w:rPr>
                <w:rFonts w:ascii="Courier"/>
                <w:b/>
                <w:bCs/>
                <w:color w:val="808080"/>
                <w:u w:color="808080"/>
                <w:lang w:val="en-US"/>
              </w:rPr>
              <w:t>The 400 Blows (1959)</w:t>
            </w:r>
          </w:p>
        </w:tc>
      </w:tr>
      <w:tr w:rsidR="00F52D25">
        <w:trPr>
          <w:trHeight w:val="270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</w:pPr>
            <w:r>
              <w:rPr>
                <w:b/>
                <w:bCs/>
                <w:color w:val="808080"/>
                <w:u w:color="808080"/>
                <w:lang w:val="en-US"/>
              </w:rPr>
              <w:t xml:space="preserve">[Enter any </w:t>
            </w:r>
            <w:r>
              <w:rPr>
                <w:b/>
                <w:bCs/>
                <w:i/>
                <w:iCs/>
                <w:color w:val="808080"/>
                <w:u w:color="808080"/>
                <w:lang w:val="en-US"/>
              </w:rPr>
              <w:t>variant forms</w:t>
            </w:r>
            <w:r>
              <w:rPr>
                <w:b/>
                <w:bCs/>
                <w:color w:val="808080"/>
                <w:u w:color="808080"/>
                <w:lang w:val="en-US"/>
              </w:rPr>
              <w:t xml:space="preserve"> of your headword – OPTIONAL]</w:t>
            </w:r>
          </w:p>
        </w:tc>
      </w:tr>
      <w:tr w:rsidR="00F52D25">
        <w:trPr>
          <w:trHeight w:val="5666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  <w:jc w:val="both"/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The 400 Blows 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iCs/>
                <w:sz w:val="24"/>
                <w:szCs w:val="24"/>
                <w:lang w:val="fr-FR"/>
              </w:rPr>
              <w:t>Les 400 Coups</w:t>
            </w:r>
            <w:r>
              <w:rPr>
                <w:sz w:val="24"/>
                <w:szCs w:val="24"/>
                <w:lang w:val="en-US"/>
              </w:rPr>
              <w:t xml:space="preserve">), a black and white French feature </w:t>
            </w:r>
            <w:r>
              <w:rPr>
                <w:sz w:val="24"/>
                <w:szCs w:val="24"/>
                <w:lang w:val="en-US"/>
              </w:rPr>
              <w:t>film directed by Fran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  <w:lang w:val="en-US"/>
              </w:rPr>
              <w:t>ois Truffaut, is one of the most influential works of the French New Wave. Strongly autobiographical, it tells the story of Antoine Doinel, a troubled Parisian boy struggling with an indifferent family life and stultifying school disc</w:t>
            </w:r>
            <w:r>
              <w:rPr>
                <w:sz w:val="24"/>
                <w:szCs w:val="24"/>
                <w:lang w:val="en-US"/>
              </w:rPr>
              <w:t>ipline, who is placed in a reform school after he commits a series of petty crimes. Truffaut chose the actor Jean-Pierre L</w:t>
            </w:r>
            <w:r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  <w:lang w:val="en-US"/>
              </w:rPr>
              <w:t>aud to play Doinel</w:t>
            </w:r>
            <w:r>
              <w:rPr>
                <w:sz w:val="24"/>
                <w:szCs w:val="24"/>
                <w:lang w:val="fr-FR"/>
              </w:rPr>
              <w:t>’</w:t>
            </w:r>
            <w:r w:rsidR="00FF783D">
              <w:rPr>
                <w:sz w:val="24"/>
                <w:szCs w:val="24"/>
                <w:lang w:val="en-US"/>
              </w:rPr>
              <w:t>s character not only 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400 Blows</w:t>
            </w:r>
            <w:r>
              <w:rPr>
                <w:sz w:val="24"/>
                <w:szCs w:val="24"/>
                <w:lang w:val="en-US"/>
              </w:rPr>
              <w:t>, but in four subsequent films.  Influenced by Jean Vigo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1933 short </w:t>
            </w:r>
            <w:r>
              <w:rPr>
                <w:i/>
                <w:iCs/>
                <w:sz w:val="24"/>
                <w:szCs w:val="24"/>
                <w:lang w:val="en-US"/>
              </w:rPr>
              <w:t>Zero for Co</w:t>
            </w:r>
            <w:r>
              <w:rPr>
                <w:i/>
                <w:iCs/>
                <w:sz w:val="24"/>
                <w:szCs w:val="24"/>
                <w:lang w:val="en-US"/>
              </w:rPr>
              <w:t>nduct</w:t>
            </w:r>
            <w:r>
              <w:rPr>
                <w:sz w:val="24"/>
                <w:szCs w:val="24"/>
                <w:lang w:val="en-US"/>
              </w:rPr>
              <w:t>, the film is notable for its simple, poetic realism and its unsentimental look at childhood, which is a radical departure from the edulcorated symbolism of films like Albert Lamorisse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</w:rPr>
              <w:t xml:space="preserve">s 1953 </w:t>
            </w:r>
            <w:r>
              <w:rPr>
                <w:i/>
                <w:iCs/>
                <w:sz w:val="24"/>
                <w:szCs w:val="24"/>
                <w:lang w:val="en-US"/>
              </w:rPr>
              <w:t>White Mane</w:t>
            </w:r>
            <w:r w:rsidR="00FF783D">
              <w:rPr>
                <w:sz w:val="24"/>
                <w:szCs w:val="24"/>
                <w:lang w:val="en-US"/>
              </w:rPr>
              <w:t xml:space="preserve">. </w:t>
            </w:r>
            <w:r w:rsidR="00FF783D" w:rsidRPr="00FF783D">
              <w:rPr>
                <w:i/>
                <w:sz w:val="24"/>
                <w:szCs w:val="24"/>
                <w:lang w:val="en-US"/>
              </w:rPr>
              <w:t>The 400 Blows’</w:t>
            </w:r>
            <w:r>
              <w:rPr>
                <w:sz w:val="24"/>
                <w:szCs w:val="24"/>
                <w:lang w:val="en-US"/>
              </w:rPr>
              <w:t xml:space="preserve"> use </w:t>
            </w:r>
            <w:r w:rsidR="00FF783D">
              <w:rPr>
                <w:sz w:val="24"/>
                <w:szCs w:val="24"/>
                <w:lang w:val="en-US"/>
              </w:rPr>
              <w:t>of innovative camera techniques</w:t>
            </w:r>
            <w:r>
              <w:rPr>
                <w:sz w:val="24"/>
                <w:szCs w:val="24"/>
                <w:lang w:val="en-US"/>
              </w:rPr>
              <w:t xml:space="preserve"> such a</w:t>
            </w:r>
            <w:r>
              <w:rPr>
                <w:sz w:val="24"/>
                <w:szCs w:val="24"/>
                <w:lang w:val="en-US"/>
              </w:rPr>
              <w:t>s long tracking shots, jump cuts, and dissolves reflects Truffaut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preoccupation with auteurism, in particular with Alexandre Astruc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notion of the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s-ES_tradnl"/>
              </w:rPr>
              <w:t>camera pen</w:t>
            </w:r>
            <w:r>
              <w:rPr>
                <w:sz w:val="24"/>
                <w:szCs w:val="24"/>
              </w:rPr>
              <w:t>” (</w:t>
            </w:r>
            <w:r>
              <w:rPr>
                <w:i/>
                <w:iCs/>
                <w:sz w:val="24"/>
                <w:szCs w:val="24"/>
                <w:lang w:val="en-US"/>
              </w:rPr>
              <w:t>camera-stylo</w:t>
            </w:r>
            <w:r>
              <w:rPr>
                <w:sz w:val="24"/>
                <w:szCs w:val="24"/>
                <w:lang w:val="en-US"/>
              </w:rPr>
              <w:t>) as the main expressive tool in the director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arsenal. The film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social comme</w:t>
            </w:r>
            <w:r>
              <w:rPr>
                <w:sz w:val="24"/>
                <w:szCs w:val="24"/>
                <w:lang w:val="en-US"/>
              </w:rPr>
              <w:t>ntary, though oblique, is unmistakable: Truffaut critiques the conformism,</w:t>
            </w:r>
            <w:r w:rsidR="00FF783D">
              <w:rPr>
                <w:sz w:val="24"/>
                <w:szCs w:val="24"/>
                <w:lang w:val="en-US"/>
              </w:rPr>
              <w:t xml:space="preserve"> rigidity and traditionalism </w:t>
            </w:r>
            <w:r>
              <w:rPr>
                <w:sz w:val="24"/>
                <w:szCs w:val="24"/>
                <w:lang w:val="en-US"/>
              </w:rPr>
              <w:t xml:space="preserve">not only </w:t>
            </w:r>
            <w:r w:rsidR="00FF783D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French society, but also of French cinema. </w:t>
            </w:r>
            <w:r>
              <w:rPr>
                <w:i/>
                <w:iCs/>
                <w:sz w:val="24"/>
                <w:szCs w:val="24"/>
                <w:lang w:val="en-US"/>
              </w:rPr>
              <w:t>The 400 Blows</w:t>
            </w:r>
            <w:r>
              <w:rPr>
                <w:sz w:val="24"/>
                <w:szCs w:val="24"/>
                <w:lang w:val="en-US"/>
              </w:rPr>
              <w:t xml:space="preserve"> is rebellious but hardly optimistic</w:t>
            </w:r>
            <w:r w:rsidR="00FF783D">
              <w:rPr>
                <w:sz w:val="24"/>
                <w:szCs w:val="24"/>
                <w:lang w:val="en-US"/>
              </w:rPr>
              <w:t xml:space="preserve">, and its iconic final image, </w:t>
            </w:r>
            <w:r>
              <w:rPr>
                <w:sz w:val="24"/>
                <w:szCs w:val="24"/>
                <w:lang w:val="en-US"/>
              </w:rPr>
              <w:t>a freeze-frame of</w:t>
            </w:r>
            <w:r>
              <w:rPr>
                <w:sz w:val="24"/>
                <w:szCs w:val="24"/>
                <w:lang w:val="en-US"/>
              </w:rPr>
              <w:t xml:space="preserve"> Doinel looking directly into the camera</w:t>
            </w:r>
            <w:r w:rsidR="00FF783D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places som</w:t>
            </w:r>
            <w:r w:rsidR="00FF783D">
              <w:rPr>
                <w:sz w:val="24"/>
                <w:szCs w:val="24"/>
                <w:lang w:val="en-US"/>
              </w:rPr>
              <w:t xml:space="preserve">e of the responsibility for his </w:t>
            </w:r>
            <w:r>
              <w:rPr>
                <w:sz w:val="24"/>
                <w:szCs w:val="24"/>
                <w:lang w:val="en-US"/>
              </w:rPr>
              <w:t>struggle on the viewers.</w:t>
            </w:r>
          </w:p>
        </w:tc>
      </w:tr>
      <w:tr w:rsidR="00F52D25">
        <w:trPr>
          <w:trHeight w:val="5666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88" w:lineRule="auto"/>
              <w:jc w:val="both"/>
            </w:pPr>
            <w:r>
              <w:rPr>
                <w:i/>
                <w:iCs/>
                <w:sz w:val="24"/>
                <w:szCs w:val="24"/>
                <w:lang w:val="en-US"/>
              </w:rPr>
              <w:lastRenderedPageBreak/>
              <w:t xml:space="preserve">The 400 Blows </w:t>
            </w:r>
            <w:r>
              <w:rPr>
                <w:sz w:val="24"/>
                <w:szCs w:val="24"/>
              </w:rPr>
              <w:t>(</w:t>
            </w:r>
            <w:r>
              <w:rPr>
                <w:i/>
                <w:iCs/>
                <w:sz w:val="24"/>
                <w:szCs w:val="24"/>
                <w:lang w:val="fr-FR"/>
              </w:rPr>
              <w:t>Les 400 Coups</w:t>
            </w:r>
            <w:r>
              <w:rPr>
                <w:sz w:val="24"/>
                <w:szCs w:val="24"/>
                <w:lang w:val="en-US"/>
              </w:rPr>
              <w:t>), a black and white French feature film directed by Fran</w:t>
            </w:r>
            <w:r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  <w:lang w:val="en-US"/>
              </w:rPr>
              <w:t>ois Truffaut, is one of the most influential works of the Fre</w:t>
            </w:r>
            <w:r>
              <w:rPr>
                <w:sz w:val="24"/>
                <w:szCs w:val="24"/>
                <w:lang w:val="en-US"/>
              </w:rPr>
              <w:t>nch New Wave. Strongly autobiographical, it tells the story of Antoine Doinel, a troubled Parisian boy struggling with an indifferent family life and stultifying school discipline, who is placed in a reform school after he commits a series of petty crimes.</w:t>
            </w:r>
            <w:r>
              <w:rPr>
                <w:sz w:val="24"/>
                <w:szCs w:val="24"/>
                <w:lang w:val="en-US"/>
              </w:rPr>
              <w:t xml:space="preserve"> Truffaut chose the actor Jean-Pierre L</w:t>
            </w:r>
            <w:r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  <w:lang w:val="en-US"/>
              </w:rPr>
              <w:t>aud to play Doinel</w:t>
            </w:r>
            <w:r>
              <w:rPr>
                <w:sz w:val="24"/>
                <w:szCs w:val="24"/>
                <w:lang w:val="fr-FR"/>
              </w:rPr>
              <w:t>’</w:t>
            </w:r>
            <w:r w:rsidR="00FF783D">
              <w:rPr>
                <w:sz w:val="24"/>
                <w:szCs w:val="24"/>
                <w:lang w:val="en-US"/>
              </w:rPr>
              <w:t>s character not only 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400 Blows</w:t>
            </w:r>
            <w:r>
              <w:rPr>
                <w:sz w:val="24"/>
                <w:szCs w:val="24"/>
                <w:lang w:val="en-US"/>
              </w:rPr>
              <w:t>, but in four subsequent films.  Influenced by Jean Vigo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1933 short </w:t>
            </w:r>
            <w:r>
              <w:rPr>
                <w:i/>
                <w:iCs/>
                <w:sz w:val="24"/>
                <w:szCs w:val="24"/>
                <w:lang w:val="en-US"/>
              </w:rPr>
              <w:t>Zero for Conduct</w:t>
            </w:r>
            <w:r>
              <w:rPr>
                <w:sz w:val="24"/>
                <w:szCs w:val="24"/>
                <w:lang w:val="en-US"/>
              </w:rPr>
              <w:t>, the film is notable for its simple, poetic realism and its unsentimental loo</w:t>
            </w:r>
            <w:r>
              <w:rPr>
                <w:sz w:val="24"/>
                <w:szCs w:val="24"/>
                <w:lang w:val="en-US"/>
              </w:rPr>
              <w:t>k at childhood, which is a radical departure from the edulcorated symbolism of films like Albert Lamorisse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</w:rPr>
              <w:t xml:space="preserve">s 1953 </w:t>
            </w:r>
            <w:r>
              <w:rPr>
                <w:i/>
                <w:iCs/>
                <w:sz w:val="24"/>
                <w:szCs w:val="24"/>
                <w:lang w:val="en-US"/>
              </w:rPr>
              <w:t>White Mane</w:t>
            </w:r>
            <w:r w:rsidR="00FF783D">
              <w:rPr>
                <w:sz w:val="24"/>
                <w:szCs w:val="24"/>
                <w:lang w:val="en-US"/>
              </w:rPr>
              <w:t xml:space="preserve">. </w:t>
            </w:r>
            <w:r w:rsidR="00FF783D" w:rsidRPr="00FF783D">
              <w:rPr>
                <w:i/>
                <w:sz w:val="24"/>
                <w:szCs w:val="24"/>
                <w:lang w:val="en-US"/>
              </w:rPr>
              <w:t>The 400 Blows’</w:t>
            </w:r>
            <w:r>
              <w:rPr>
                <w:sz w:val="24"/>
                <w:szCs w:val="24"/>
                <w:lang w:val="en-US"/>
              </w:rPr>
              <w:t xml:space="preserve"> use of innovative camera techniques, such as long tracking shots, jump cuts, and dissolves reflects Truffaut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preoccupation w</w:t>
            </w:r>
            <w:r>
              <w:rPr>
                <w:sz w:val="24"/>
                <w:szCs w:val="24"/>
                <w:lang w:val="en-US"/>
              </w:rPr>
              <w:t>ith auteurism, in particular with Alexandre Astruc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 xml:space="preserve">s notion of the </w:t>
            </w: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s-ES_tradnl"/>
              </w:rPr>
              <w:t>camera pen</w:t>
            </w:r>
            <w:r>
              <w:rPr>
                <w:sz w:val="24"/>
                <w:szCs w:val="24"/>
              </w:rPr>
              <w:t>” (</w:t>
            </w:r>
            <w:r>
              <w:rPr>
                <w:i/>
                <w:iCs/>
                <w:sz w:val="24"/>
                <w:szCs w:val="24"/>
                <w:lang w:val="en-US"/>
              </w:rPr>
              <w:t>camera-stylo</w:t>
            </w:r>
            <w:r>
              <w:rPr>
                <w:sz w:val="24"/>
                <w:szCs w:val="24"/>
                <w:lang w:val="en-US"/>
              </w:rPr>
              <w:t>) as the main expressive tool in the director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arsenal. The film</w:t>
            </w:r>
            <w:r>
              <w:rPr>
                <w:sz w:val="24"/>
                <w:szCs w:val="24"/>
                <w:lang w:val="fr-FR"/>
              </w:rPr>
              <w:t>’</w:t>
            </w:r>
            <w:r>
              <w:rPr>
                <w:sz w:val="24"/>
                <w:szCs w:val="24"/>
                <w:lang w:val="en-US"/>
              </w:rPr>
              <w:t>s social commentary, though oblique, is unmistakable: Truffaut critiques the conformism, rigidity</w:t>
            </w:r>
            <w:r w:rsidR="00FF53AE">
              <w:rPr>
                <w:sz w:val="24"/>
                <w:szCs w:val="24"/>
                <w:lang w:val="en-US"/>
              </w:rPr>
              <w:t xml:space="preserve"> and traditionalism </w:t>
            </w:r>
            <w:r>
              <w:rPr>
                <w:sz w:val="24"/>
                <w:szCs w:val="24"/>
                <w:lang w:val="en-US"/>
              </w:rPr>
              <w:t xml:space="preserve">not only </w:t>
            </w:r>
            <w:r w:rsidR="00FF53AE">
              <w:rPr>
                <w:sz w:val="24"/>
                <w:szCs w:val="24"/>
                <w:lang w:val="en-US"/>
              </w:rPr>
              <w:t xml:space="preserve">of </w:t>
            </w:r>
            <w:r>
              <w:rPr>
                <w:sz w:val="24"/>
                <w:szCs w:val="24"/>
                <w:lang w:val="en-US"/>
              </w:rPr>
              <w:t xml:space="preserve">French society, but also of French cinema. </w:t>
            </w:r>
            <w:r>
              <w:rPr>
                <w:i/>
                <w:iCs/>
                <w:sz w:val="24"/>
                <w:szCs w:val="24"/>
                <w:lang w:val="en-US"/>
              </w:rPr>
              <w:t>The 400 Blows</w:t>
            </w:r>
            <w:r>
              <w:rPr>
                <w:sz w:val="24"/>
                <w:szCs w:val="24"/>
                <w:lang w:val="en-US"/>
              </w:rPr>
              <w:t xml:space="preserve"> is rebellious but hardly optimistic</w:t>
            </w:r>
            <w:r w:rsidR="00FF53AE">
              <w:rPr>
                <w:sz w:val="24"/>
                <w:szCs w:val="24"/>
                <w:lang w:val="en-US"/>
              </w:rPr>
              <w:t xml:space="preserve">, and its iconic final image, </w:t>
            </w:r>
            <w:r>
              <w:rPr>
                <w:sz w:val="24"/>
                <w:szCs w:val="24"/>
                <w:lang w:val="en-US"/>
              </w:rPr>
              <w:t>a freeze-frame of Doinel looking directly into the camera</w:t>
            </w:r>
            <w:r w:rsidR="00FF53AE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plac</w:t>
            </w:r>
            <w:r w:rsidR="00FF53AE">
              <w:rPr>
                <w:sz w:val="24"/>
                <w:szCs w:val="24"/>
                <w:lang w:val="en-US"/>
              </w:rPr>
              <w:t xml:space="preserve">es some of the responsibility for his </w:t>
            </w:r>
            <w:r>
              <w:rPr>
                <w:sz w:val="24"/>
                <w:szCs w:val="24"/>
                <w:lang w:val="en-US"/>
              </w:rPr>
              <w:t>struggle on the viewers.</w:t>
            </w:r>
          </w:p>
        </w:tc>
      </w:tr>
      <w:tr w:rsidR="00F52D25">
        <w:trPr>
          <w:trHeight w:val="4918"/>
        </w:trPr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2D25" w:rsidRDefault="0049576C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u w:val="single"/>
                <w:lang w:val="en-US"/>
              </w:rPr>
              <w:t>Further reading</w:t>
            </w:r>
            <w:r>
              <w:rPr>
                <w:lang w:val="en-US"/>
              </w:rPr>
              <w:t>:</w:t>
            </w:r>
          </w:p>
          <w:p w:rsidR="0090183F" w:rsidRDefault="0090183F">
            <w:pPr>
              <w:pStyle w:val="FreeFormA"/>
              <w:spacing w:line="288" w:lineRule="auto"/>
              <w:rPr>
                <w:rFonts w:ascii="Calibri"/>
              </w:rPr>
            </w:pPr>
            <w:sdt>
              <w:sdtPr>
                <w:rPr>
                  <w:rFonts w:ascii="Calibri"/>
                </w:rPr>
                <w:id w:val="-288202680"/>
                <w:citation/>
              </w:sdtPr>
              <w:sdtContent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 w:hAnsi="Calibri"/>
                  </w:rPr>
                  <w:instrText xml:space="preserve"> CITATION Cro60 \l 1033 </w:instrText>
                </w:r>
                <w:r>
                  <w:rPr>
                    <w:rFonts w:ascii="Calibri"/>
                  </w:rPr>
                  <w:fldChar w:fldCharType="separate"/>
                </w:r>
                <w:r w:rsidRPr="0090183F">
                  <w:rPr>
                    <w:rFonts w:ascii="Calibri" w:hAnsi="Calibri"/>
                    <w:noProof/>
                  </w:rPr>
                  <w:t>(Croce, 1960)</w:t>
                </w:r>
                <w:r>
                  <w:rPr>
                    <w:rFonts w:ascii="Calibri"/>
                  </w:rPr>
                  <w:fldChar w:fldCharType="end"/>
                </w:r>
              </w:sdtContent>
            </w:sdt>
          </w:p>
          <w:p w:rsidR="0090183F" w:rsidRDefault="0090183F">
            <w:pPr>
              <w:pStyle w:val="FreeFormA"/>
              <w:spacing w:line="288" w:lineRule="auto"/>
              <w:rPr>
                <w:rFonts w:ascii="Calibri"/>
              </w:rPr>
            </w:pPr>
            <w:sdt>
              <w:sdtPr>
                <w:rPr>
                  <w:rFonts w:ascii="Calibri"/>
                </w:rPr>
                <w:id w:val="1248545438"/>
                <w:citation/>
              </w:sdtPr>
              <w:sdtContent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 w:hAnsi="Calibri"/>
                  </w:rPr>
                  <w:instrText xml:space="preserve"> CITATION Nel85 \l 1033 </w:instrText>
                </w:r>
                <w:r>
                  <w:rPr>
                    <w:rFonts w:ascii="Calibri"/>
                  </w:rPr>
                  <w:fldChar w:fldCharType="separate"/>
                </w:r>
                <w:r w:rsidRPr="0090183F">
                  <w:rPr>
                    <w:rFonts w:ascii="Calibri" w:hAnsi="Calibri"/>
                    <w:noProof/>
                  </w:rPr>
                  <w:t>(Nelson, 1985)</w:t>
                </w:r>
                <w:r>
                  <w:rPr>
                    <w:rFonts w:ascii="Calibri"/>
                  </w:rPr>
                  <w:fldChar w:fldCharType="end"/>
                </w:r>
              </w:sdtContent>
            </w:sdt>
          </w:p>
          <w:p w:rsidR="00F52D25" w:rsidRDefault="00E36897">
            <w:pPr>
              <w:pStyle w:val="FreeFormA"/>
              <w:spacing w:line="288" w:lineRule="auto"/>
            </w:pPr>
            <w:sdt>
              <w:sdtPr>
                <w:id w:val="-1582134552"/>
                <w:citation/>
              </w:sdtPr>
              <w:sdtContent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CITATION Tru71 \l 1033 </w:instrText>
                </w:r>
                <w:r>
                  <w:fldChar w:fldCharType="separate"/>
                </w:r>
                <w:r w:rsidRPr="00E36897">
                  <w:rPr>
                    <w:rFonts w:ascii="Calibri" w:eastAsia="Calibri" w:hAnsi="Calibri" w:cs="Calibri"/>
                    <w:noProof/>
                  </w:rPr>
                  <w:t>(Truffaut, 1971)</w:t>
                </w:r>
                <w:r>
                  <w:fldChar w:fldCharType="end"/>
                </w:r>
              </w:sdtContent>
            </w:sdt>
          </w:p>
          <w:p w:rsidR="00E36897" w:rsidRDefault="00E36897">
            <w:pPr>
              <w:pStyle w:val="FreeFormA"/>
              <w:spacing w:line="288" w:lineRule="auto"/>
            </w:pPr>
            <w:sdt>
              <w:sdtPr>
                <w:id w:val="-1951920016"/>
                <w:citation/>
              </w:sdtPr>
              <w:sdtContent>
                <w:r>
                  <w:fldChar w:fldCharType="begin"/>
                </w:r>
                <w:r>
                  <w:rPr>
                    <w:rFonts w:hAnsi="Helvetica"/>
                  </w:rPr>
                  <w:instrText xml:space="preserve"> CITATION Tru63 \l 1033 </w:instrText>
                </w:r>
                <w:r>
                  <w:fldChar w:fldCharType="separate"/>
                </w:r>
                <w:r w:rsidRPr="00E36897">
                  <w:rPr>
                    <w:rFonts w:hAnsi="Helvetica"/>
                    <w:noProof/>
                  </w:rPr>
                  <w:t>(Truffaut, François and Paul Ronder, 1963)</w:t>
                </w:r>
                <w:r>
                  <w:fldChar w:fldCharType="end"/>
                </w:r>
              </w:sdtContent>
            </w:sdt>
          </w:p>
          <w:p w:rsidR="00E36897" w:rsidRDefault="00E36897">
            <w:pPr>
              <w:pStyle w:val="FreeFormA"/>
              <w:spacing w:line="288" w:lineRule="auto"/>
            </w:pPr>
            <w:sdt>
              <w:sdtPr>
                <w:id w:val="-1322198820"/>
                <w:citation/>
              </w:sdtPr>
              <w:sdtContent>
                <w:r>
                  <w:fldChar w:fldCharType="begin"/>
                </w:r>
                <w:r>
                  <w:rPr>
                    <w:rFonts w:hAnsi="Helvetica"/>
                  </w:rPr>
                  <w:instrText xml:space="preserve"> CITATION Jea \l 1033 </w:instrText>
                </w:r>
                <w:r>
                  <w:fldChar w:fldCharType="separate"/>
                </w:r>
                <w:r w:rsidRPr="00E36897">
                  <w:rPr>
                    <w:rFonts w:hAnsi="Helvetica"/>
                    <w:noProof/>
                  </w:rPr>
                  <w:t>(Léaud)</w:t>
                </w:r>
                <w:r>
                  <w:fldChar w:fldCharType="end"/>
                </w:r>
              </w:sdtContent>
            </w:sdt>
          </w:p>
          <w:p w:rsidR="00E36897" w:rsidRDefault="00E36897">
            <w:pPr>
              <w:pStyle w:val="FreeFormA"/>
              <w:spacing w:line="288" w:lineRule="auto"/>
            </w:pPr>
            <w:sdt>
              <w:sdtPr>
                <w:id w:val="-1736084322"/>
                <w:citation/>
              </w:sdtPr>
              <w:sdtContent>
                <w:r>
                  <w:fldChar w:fldCharType="begin"/>
                </w:r>
                <w:r>
                  <w:rPr>
                    <w:rFonts w:hAnsi="Helvetica"/>
                  </w:rPr>
                  <w:instrText xml:space="preserve"> CITATION Tra \l 1033 </w:instrText>
                </w:r>
                <w:r>
                  <w:fldChar w:fldCharType="separate"/>
                </w:r>
                <w:r w:rsidRPr="00E36897">
                  <w:rPr>
                    <w:rFonts w:hAnsi="Helvetica"/>
                    <w:noProof/>
                  </w:rPr>
                  <w:t>(Trailer)</w:t>
                </w:r>
                <w:r>
                  <w:fldChar w:fldCharType="end"/>
                </w:r>
              </w:sdtContent>
            </w:sdt>
          </w:p>
        </w:tc>
      </w:tr>
    </w:tbl>
    <w:p w:rsidR="00F52D25" w:rsidRDefault="0049576C">
      <w:pPr>
        <w:pStyle w:val="Body"/>
        <w:spacing w:line="240" w:lineRule="auto"/>
      </w:pPr>
      <w:r>
        <w:br/>
      </w:r>
      <w:bookmarkStart w:id="0" w:name="_GoBack"/>
      <w:bookmarkEnd w:id="0"/>
    </w:p>
    <w:sectPr w:rsidR="00F52D25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76C" w:rsidRDefault="0049576C">
      <w:r>
        <w:separator/>
      </w:r>
    </w:p>
  </w:endnote>
  <w:endnote w:type="continuationSeparator" w:id="0">
    <w:p w:rsidR="0049576C" w:rsidRDefault="00495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25" w:rsidRDefault="00F52D2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76C" w:rsidRDefault="0049576C">
      <w:r>
        <w:separator/>
      </w:r>
    </w:p>
  </w:footnote>
  <w:footnote w:type="continuationSeparator" w:id="0">
    <w:p w:rsidR="0049576C" w:rsidRDefault="00495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25" w:rsidRDefault="0049576C">
    <w:pPr>
      <w:pStyle w:val="Header"/>
      <w:tabs>
        <w:tab w:val="clear" w:pos="9026"/>
        <w:tab w:val="right" w:pos="9000"/>
      </w:tabs>
      <w:rPr>
        <w:i/>
        <w:iCs/>
        <w:color w:val="7F7F7F"/>
        <w:u w:color="7F7F7F"/>
      </w:rPr>
    </w:pPr>
    <w:r>
      <w:rPr>
        <w:b/>
        <w:bCs/>
        <w:color w:val="7F7F7F"/>
        <w:u w:color="7F7F7F"/>
      </w:rPr>
      <w:t>Taylor &amp; Francis</w:t>
    </w:r>
    <w:r>
      <w:rPr>
        <w:rFonts w:hAnsi="Calibri"/>
        <w:color w:val="7F7F7F"/>
        <w:u w:color="7F7F7F"/>
      </w:rPr>
      <w:t xml:space="preserve"> – </w:t>
    </w:r>
    <w:r>
      <w:rPr>
        <w:i/>
        <w:iCs/>
        <w:color w:val="7F7F7F"/>
        <w:u w:color="7F7F7F"/>
      </w:rPr>
      <w:t>Encyclopedia of Modernism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2D25"/>
    <w:rsid w:val="0049576C"/>
    <w:rsid w:val="0090183F"/>
    <w:rsid w:val="00E36897"/>
    <w:rsid w:val="00F52D25"/>
    <w:rsid w:val="00FF53AE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FreeFormA">
    <w:name w:val="Free Form A"/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u w:val="single" w:color="0000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3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FreeFormA">
    <w:name w:val="Free Form A"/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99"/>
      <w:u w:val="single" w:color="0000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3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Cro60</b:Tag>
    <b:SourceType>JournalArticle</b:SourceType>
    <b:Guid>{E9A9CC10-FEE8-4D3F-A269-D8BAF0AB8D4A}</b:Guid>
    <b:Author>
      <b:Author>
        <b:NameList>
          <b:Person>
            <b:Last>Croce</b:Last>
            <b:First>Arlene</b:First>
          </b:Person>
        </b:NameList>
      </b:Author>
    </b:Author>
    <b:Title>Les Quatre Cents Coups (The 400 Blows)</b:Title>
    <b:Year>1960</b:Year>
    <b:JournalName>Film Quarterly</b:JournalName>
    <b:Pages>35-38</b:Pages>
    <b:Volume>13</b:Volume>
    <b:Issue>3</b:Issue>
    <b:RefOrder>1</b:RefOrder>
  </b:Source>
  <b:Source>
    <b:Tag>Nel85</b:Tag>
    <b:SourceType>JournalArticle</b:SourceType>
    <b:Guid>{8CC56BC1-29F3-431B-AF2B-303AE4E60997}</b:Guid>
    <b:Author>
      <b:Author>
        <b:NameList>
          <b:Person>
            <b:Last>Nelson</b:Last>
            <b:First>Roy</b:First>
            <b:Middle>Jay</b:Middle>
          </b:Person>
        </b:NameList>
      </b:Author>
    </b:Author>
    <b:Title>The Rotor: Elements of Paradigmatic Structure in Truffaut's The 400 Blows</b:Title>
    <b:JournalName>Wide Angle</b:JournalName>
    <b:Year>1985</b:Year>
    <b:Pages>137-143</b:Pages>
    <b:Volume>7</b:Volume>
    <b:Issue>1-2</b:Issue>
    <b:RefOrder>2</b:RefOrder>
  </b:Source>
  <b:Source>
    <b:Tag>Tru71</b:Tag>
    <b:SourceType>Book</b:SourceType>
    <b:Guid>{C768D536-6398-43CA-9674-D01293F23BBB}</b:Guid>
    <b:Author>
      <b:Author>
        <b:NameList>
          <b:Person>
            <b:Last>Truffaut</b:Last>
            <b:First>François</b:First>
          </b:Person>
        </b:NameList>
      </b:Author>
      <b:Translator>
        <b:NameList>
          <b:Person>
            <b:Last>Scott</b:Last>
            <b:First>Helen</b:First>
            <b:Middle>G.</b:Middle>
          </b:Person>
        </b:NameList>
      </b:Translator>
    </b:Author>
    <b:Title>The Adventures of Antoine Doinel; Four Screenplays: The 400 Blows; Love at Twenty; Stolen Kisses; Bed and Board</b:Title>
    <b:Year>1971</b:Year>
    <b:City>New York</b:City>
    <b:Publisher>Simon and Schuster</b:Publisher>
    <b:RefOrder>3</b:RefOrder>
  </b:Source>
  <b:Source>
    <b:Tag>Tru63</b:Tag>
    <b:SourceType>JournalArticle</b:SourceType>
    <b:Guid>{F973FED4-3507-4E4C-BF9D-950282011D1F}</b:Guid>
    <b:Author>
      <b:Author>
        <b:Corporate>Truffaut, François and Paul Ronder</b:Corporate>
      </b:Author>
    </b:Author>
    <b:Title>François Truffaut: An Interview</b:Title>
    <b:Year>1963</b:Year>
    <b:JournalName>Film Quarterly</b:JournalName>
    <b:Pages>3-13</b:Pages>
    <b:Volume>17</b:Volume>
    <b:Issue>1</b:Issue>
    <b:RefOrder>4</b:RefOrder>
  </b:Source>
  <b:Source>
    <b:Tag>Jea</b:Tag>
    <b:SourceType>Film</b:SourceType>
    <b:Guid>{2240B9A5-1D83-45A7-A0E7-6AB2A7580FCA}</b:Guid>
    <b:Title>Jean-Pierre Léaud’s audition for the film</b:Title>
    <b:InternetSiteTitle>YouTube.com</b:InternetSiteTitle>
    <b:URL>https://www.youtube.com/watch?v=3hfdXIW73-M</b:URL>
    <b:Author>
      <b:Performer>
        <b:NameList>
          <b:Person>
            <b:Last>Léaud</b:Last>
            <b:First>Jean-Pierre</b:First>
          </b:Person>
        </b:NameList>
      </b:Performer>
    </b:Author>
    <b:RefOrder>5</b:RefOrder>
  </b:Source>
  <b:Source>
    <b:Tag>Tra</b:Tag>
    <b:SourceType>Film</b:SourceType>
    <b:Guid>{68942E43-D9A0-41D0-BEE1-F0C9968F6FB0}</b:Guid>
    <b:Title>Trailer</b:Title>
    <b:URL>https://www.youtube.com/watch?v=SYCD1IBzzC0</b:URL>
    <b:RefOrder>6</b:RefOrder>
  </b:Source>
</b:Sources>
</file>

<file path=customXml/itemProps1.xml><?xml version="1.0" encoding="utf-8"?>
<ds:datastoreItem xmlns:ds="http://schemas.openxmlformats.org/officeDocument/2006/customXml" ds:itemID="{B4915DD8-E6B7-4CDC-81AC-BCC2EC2F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DAWN</cp:lastModifiedBy>
  <cp:revision>5</cp:revision>
  <dcterms:created xsi:type="dcterms:W3CDTF">2014-05-21T18:04:00Z</dcterms:created>
  <dcterms:modified xsi:type="dcterms:W3CDTF">2014-05-21T18:20:00Z</dcterms:modified>
</cp:coreProperties>
</file>