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02374D59812B64DBDD536E82560C51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12FEDAC1CF2874F826C8D3F98ED864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A056F" w:rsidP="00DA056F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DBCC925C80423469D5C5A9F164CBE4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F1453544AC6DA47AD68F2C0BA30969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A056F" w:rsidP="00DA056F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30E56E419ED5D4FA5BF03F3C98129A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5597F2428A66488FB31B5DE8A4775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975AAE9C99F6E4796688CBA6FC9967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A056F" w:rsidP="00DA056F">
                <w:pPr>
                  <w:rPr>
                    <w:b/>
                  </w:rPr>
                </w:pPr>
                <w:r>
                  <w:rPr>
                    <w:b/>
                  </w:rPr>
                  <w:t xml:space="preserve">Yokoyama, </w:t>
                </w:r>
                <w:proofErr w:type="spellStart"/>
                <w:r>
                  <w:rPr>
                    <w:b/>
                  </w:rPr>
                  <w:t>Taikan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3D7D17D411C244A953BA0082EC69C1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549B0AEE86A474ABBB1CEF88B15901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A056F" w:rsidP="00E85A05">
                <w:r>
                  <w:t xml:space="preserve">The name </w:t>
                </w:r>
                <w:proofErr w:type="spellStart"/>
                <w:r>
                  <w:t>Taikan</w:t>
                </w:r>
                <w:proofErr w:type="spellEnd"/>
                <w:r>
                  <w:t xml:space="preserve"> Yokoyama is synonymous with </w:t>
                </w:r>
                <w:proofErr w:type="spellStart"/>
                <w:r>
                  <w:t>Nihonga</w:t>
                </w:r>
                <w:proofErr w:type="spellEnd"/>
                <w:r>
                  <w:t xml:space="preserve"> (Japanese-style painting) and the Japan Art Institute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日本美術院</w:t>
                </w:r>
                <w:proofErr w:type="spellEnd"/>
                <w:r>
                  <w:t xml:space="preserve"> Nihon </w:t>
                </w:r>
                <w:proofErr w:type="spellStart"/>
                <w:r>
                  <w:t>Bijutsuin</w:t>
                </w:r>
                <w:proofErr w:type="spellEnd"/>
                <w:r>
                  <w:t>).  Yokoyama was among the first batch of students enrolled at the Tokyo School of Fine Arts in 1887 and was closely mentored by the school’s founder</w:t>
                </w:r>
                <w:r>
                  <w:t xml:space="preserve"> …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C118B6D6987494598E274F4BF319A2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DA056F" w:rsidP="00DA056F">
                <w:r>
                  <w:t xml:space="preserve">The name </w:t>
                </w:r>
                <w:proofErr w:type="spellStart"/>
                <w:r>
                  <w:t>Taikan</w:t>
                </w:r>
                <w:proofErr w:type="spellEnd"/>
                <w:r>
                  <w:t xml:space="preserve"> Yokoyama i</w:t>
                </w:r>
                <w:r>
                  <w:t xml:space="preserve">s synonymous with </w:t>
                </w:r>
                <w:proofErr w:type="spellStart"/>
                <w:r>
                  <w:t>Nihonga</w:t>
                </w:r>
                <w:proofErr w:type="spellEnd"/>
                <w:r>
                  <w:t xml:space="preserve"> (Japanese-style painting) and the Japan Art Institute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日本美術院</w:t>
                </w:r>
                <w:proofErr w:type="spellEnd"/>
                <w:r>
                  <w:t xml:space="preserve"> Nihon </w:t>
                </w:r>
                <w:proofErr w:type="spellStart"/>
                <w:r>
                  <w:t>Bijutsuin</w:t>
                </w:r>
                <w:proofErr w:type="spellEnd"/>
                <w:r>
                  <w:t xml:space="preserve">).  Yokoyama </w:t>
                </w:r>
                <w:r>
                  <w:t xml:space="preserve">was among the first batch of students enrolled at the Tokyo School of Fine Arts in 1887 and was closely mentored by the school’s founder, </w:t>
                </w:r>
                <w:proofErr w:type="spellStart"/>
                <w:r>
                  <w:t>Okakura</w:t>
                </w:r>
                <w:proofErr w:type="spellEnd"/>
                <w:r>
                  <w:t xml:space="preserve"> </w:t>
                </w:r>
                <w:proofErr w:type="spellStart"/>
                <w:r>
                  <w:t>Tenshin</w:t>
                </w:r>
                <w:proofErr w:type="spellEnd"/>
                <w:r>
                  <w:t xml:space="preserve">. When </w:t>
                </w:r>
                <w:proofErr w:type="spellStart"/>
                <w:r>
                  <w:t>Tenshin</w:t>
                </w:r>
                <w:proofErr w:type="spellEnd"/>
                <w:r>
                  <w:t xml:space="preserve"> left to establish the Japan Art Institute in 1898, </w:t>
                </w:r>
                <w:proofErr w:type="spellStart"/>
                <w:r>
                  <w:t>Taik</w:t>
                </w:r>
                <w:r>
                  <w:t>an</w:t>
                </w:r>
                <w:proofErr w:type="spellEnd"/>
                <w:r>
                  <w:t xml:space="preserve"> followed along with a great many other students who exited the school at the same time. </w:t>
                </w:r>
                <w:r>
                  <w:t>His career became closely associated with the Institute</w:t>
                </w:r>
                <w:r>
                  <w:t>, and in 1914 Yokoyama revitalize</w:t>
                </w:r>
                <w:r>
                  <w:t xml:space="preserve">d and </w:t>
                </w:r>
                <w:r>
                  <w:t xml:space="preserve">reorganized the Institute, </w:t>
                </w:r>
                <w:r>
                  <w:t>which had become inactiv</w:t>
                </w:r>
                <w:r>
                  <w:t xml:space="preserve">e upon </w:t>
                </w:r>
                <w:proofErr w:type="spellStart"/>
                <w:r>
                  <w:t>Tenshin’s</w:t>
                </w:r>
                <w:proofErr w:type="spellEnd"/>
                <w:r>
                  <w:t xml:space="preserve"> passing. Yokoyama is well </w:t>
                </w:r>
                <w:r>
                  <w:t>known for his repertoire of works</w:t>
                </w:r>
                <w:r>
                  <w:t>,</w:t>
                </w:r>
                <w:r>
                  <w:t xml:space="preserve"> which include paintings of customs and manners (</w:t>
                </w:r>
                <w:proofErr w:type="spellStart"/>
                <w:r>
                  <w:t>fûzoku-ga</w:t>
                </w:r>
                <w:proofErr w:type="spellEnd"/>
                <w:r>
                  <w:t xml:space="preserve">, 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風俗画</w:t>
                </w:r>
                <w:proofErr w:type="spellEnd"/>
                <w:r>
                  <w:t>), historical figures</w:t>
                </w:r>
                <w:r>
                  <w:t>,</w:t>
                </w:r>
                <w:r>
                  <w:t xml:space="preserve"> a</w:t>
                </w:r>
                <w:r>
                  <w:t>nd landscapes. He is most well k</w:t>
                </w:r>
                <w:r>
                  <w:t>nown for his paintings of M</w:t>
                </w:r>
                <w:r>
                  <w:t xml:space="preserve">ount Fuji along with the works </w:t>
                </w:r>
                <w:r>
                  <w:rPr>
                    <w:i/>
                  </w:rPr>
                  <w:t>Eight V</w:t>
                </w:r>
                <w:r w:rsidRPr="00DA056F">
                  <w:rPr>
                    <w:i/>
                  </w:rPr>
                  <w:t>iews of the Xiao and Xiang Rivers</w:t>
                </w:r>
                <w:r>
                  <w:t xml:space="preserve"> (1912) and </w:t>
                </w:r>
                <w:r w:rsidRPr="00DA056F">
                  <w:rPr>
                    <w:i/>
                  </w:rPr>
                  <w:t>The Wheel of Life</w:t>
                </w:r>
                <w:r>
                  <w:t xml:space="preserve"> (1923) both of which are designated</w:t>
                </w:r>
                <w:r>
                  <w:t xml:space="preserve"> Important Cultural Properties. Throughout his life, </w:t>
                </w:r>
                <w:r>
                  <w:t>Yokoyama</w:t>
                </w:r>
                <w:r>
                  <w:t xml:space="preserve"> continued to exhibit at almost every government-sponsored exhibition held, in addition to the exhibitions held by the Japan Art Institute. In 1937, </w:t>
                </w:r>
                <w:r>
                  <w:t xml:space="preserve">Yokoyama </w:t>
                </w:r>
                <w:r>
                  <w:t>was awarded the Order of Culture, a testament to his achievement</w:t>
                </w:r>
                <w:r>
                  <w:t>s</w:t>
                </w:r>
                <w:bookmarkStart w:id="0" w:name="_GoBack"/>
                <w:bookmarkEnd w:id="0"/>
                <w:r>
                  <w:t xml:space="preserve"> as a </w:t>
                </w:r>
                <w:proofErr w:type="spellStart"/>
                <w:r>
                  <w:t>Nihonga</w:t>
                </w:r>
                <w:proofErr w:type="spellEnd"/>
                <w:r>
                  <w:t xml:space="preserve"> artist.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EE3D34DE379BB4895A1F0AB30F0D29A"/>
              </w:placeholder>
            </w:sdtPr>
            <w:sdtEndPr/>
            <w:sdtContent>
              <w:p w:rsidR="00DA056F" w:rsidRDefault="00DA056F" w:rsidP="00DA056F">
                <w:r>
                  <w:t xml:space="preserve">Conant, Ellen. (1995) </w:t>
                </w:r>
                <w:proofErr w:type="spellStart"/>
                <w:r>
                  <w:t>Nihonga</w:t>
                </w:r>
                <w:proofErr w:type="spellEnd"/>
                <w:r>
                  <w:t>, Transcending the Past: Japanese-style Painting 1868 -1968. St. Louis: St. Louis Art Museum.</w:t>
                </w:r>
              </w:p>
              <w:p w:rsidR="00DA056F" w:rsidRDefault="00DA056F" w:rsidP="00DA056F">
                <w:r>
                  <w:t xml:space="preserve">Weston, Victoria.  (2004) Japanese Painting and National Identity, Ann </w:t>
                </w:r>
                <w:proofErr w:type="spellStart"/>
                <w:r>
                  <w:t>Arbor</w:t>
                </w:r>
                <w:proofErr w:type="spellEnd"/>
                <w:r>
                  <w:t>: The University of Michigan.</w:t>
                </w:r>
              </w:p>
              <w:p w:rsidR="003235A7" w:rsidRDefault="00DA056F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56F" w:rsidRDefault="00DA056F" w:rsidP="007A0D55">
      <w:pPr>
        <w:spacing w:after="0" w:line="240" w:lineRule="auto"/>
      </w:pPr>
      <w:r>
        <w:separator/>
      </w:r>
    </w:p>
  </w:endnote>
  <w:endnote w:type="continuationSeparator" w:id="0">
    <w:p w:rsidR="00DA056F" w:rsidRDefault="00DA056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56F" w:rsidRDefault="00DA056F" w:rsidP="007A0D55">
      <w:pPr>
        <w:spacing w:after="0" w:line="240" w:lineRule="auto"/>
      </w:pPr>
      <w:r>
        <w:separator/>
      </w:r>
    </w:p>
  </w:footnote>
  <w:footnote w:type="continuationSeparator" w:id="0">
    <w:p w:rsidR="00DA056F" w:rsidRDefault="00DA056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6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056F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05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6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05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2374D59812B64DBDD536E82560C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1A8DA-9D12-F242-9E48-33B656CDCD4B}"/>
      </w:docPartPr>
      <w:docPartBody>
        <w:p w:rsidR="00000000" w:rsidRDefault="004E117A">
          <w:pPr>
            <w:pStyle w:val="702374D59812B64DBDD536E82560C51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12FEDAC1CF2874F826C8D3F98ED8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52325-46F9-2649-864F-65C165D5AF00}"/>
      </w:docPartPr>
      <w:docPartBody>
        <w:p w:rsidR="00000000" w:rsidRDefault="004E117A">
          <w:pPr>
            <w:pStyle w:val="E12FEDAC1CF2874F826C8D3F98ED864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DBCC925C80423469D5C5A9F164C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8F9F-85FC-9C44-8E59-8AF9FC0A77DE}"/>
      </w:docPartPr>
      <w:docPartBody>
        <w:p w:rsidR="00000000" w:rsidRDefault="004E117A">
          <w:pPr>
            <w:pStyle w:val="EDBCC925C80423469D5C5A9F164CBE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F1453544AC6DA47AD68F2C0BA309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CD710-490C-194B-9568-CD98B33B8271}"/>
      </w:docPartPr>
      <w:docPartBody>
        <w:p w:rsidR="00000000" w:rsidRDefault="004E117A">
          <w:pPr>
            <w:pStyle w:val="FF1453544AC6DA47AD68F2C0BA30969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30E56E419ED5D4FA5BF03F3C981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4B9F6-A355-5D46-BE11-6C34061F3D50}"/>
      </w:docPartPr>
      <w:docPartBody>
        <w:p w:rsidR="00000000" w:rsidRDefault="004E117A">
          <w:pPr>
            <w:pStyle w:val="B30E56E419ED5D4FA5BF03F3C98129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5597F2428A66488FB31B5DE8A47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0B5C9-5D1F-3345-A860-6B948B23BDD8}"/>
      </w:docPartPr>
      <w:docPartBody>
        <w:p w:rsidR="00000000" w:rsidRDefault="004E117A">
          <w:pPr>
            <w:pStyle w:val="805597F2428A66488FB31B5DE8A4775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975AAE9C99F6E4796688CBA6FC9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1585A-68CA-2C40-9272-4D0B857B6EB4}"/>
      </w:docPartPr>
      <w:docPartBody>
        <w:p w:rsidR="00000000" w:rsidRDefault="004E117A">
          <w:pPr>
            <w:pStyle w:val="D975AAE9C99F6E4796688CBA6FC9967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3D7D17D411C244A953BA0082EC69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82AE7-DA4D-0043-8F5D-97623ED6521E}"/>
      </w:docPartPr>
      <w:docPartBody>
        <w:p w:rsidR="00000000" w:rsidRDefault="004E117A">
          <w:pPr>
            <w:pStyle w:val="93D7D17D411C244A953BA0082EC69C1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549B0AEE86A474ABBB1CEF88B159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1385-FD91-1E47-8F76-E89FD0311191}"/>
      </w:docPartPr>
      <w:docPartBody>
        <w:p w:rsidR="00000000" w:rsidRDefault="004E117A">
          <w:pPr>
            <w:pStyle w:val="B549B0AEE86A474ABBB1CEF88B15901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118B6D6987494598E274F4BF31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73740-9A26-F947-8475-5AC044C137D1}"/>
      </w:docPartPr>
      <w:docPartBody>
        <w:p w:rsidR="00000000" w:rsidRDefault="004E117A">
          <w:pPr>
            <w:pStyle w:val="4C118B6D6987494598E274F4BF319A2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EE3D34DE379BB4895A1F0AB30F0D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0E116-8C8D-B94F-BF0F-6E189A50AA0E}"/>
      </w:docPartPr>
      <w:docPartBody>
        <w:p w:rsidR="00000000" w:rsidRDefault="004E117A">
          <w:pPr>
            <w:pStyle w:val="FEE3D34DE379BB4895A1F0AB30F0D29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2374D59812B64DBDD536E82560C510">
    <w:name w:val="702374D59812B64DBDD536E82560C510"/>
  </w:style>
  <w:style w:type="paragraph" w:customStyle="1" w:styleId="E12FEDAC1CF2874F826C8D3F98ED8649">
    <w:name w:val="E12FEDAC1CF2874F826C8D3F98ED8649"/>
  </w:style>
  <w:style w:type="paragraph" w:customStyle="1" w:styleId="EDBCC925C80423469D5C5A9F164CBE4C">
    <w:name w:val="EDBCC925C80423469D5C5A9F164CBE4C"/>
  </w:style>
  <w:style w:type="paragraph" w:customStyle="1" w:styleId="FF1453544AC6DA47AD68F2C0BA30969A">
    <w:name w:val="FF1453544AC6DA47AD68F2C0BA30969A"/>
  </w:style>
  <w:style w:type="paragraph" w:customStyle="1" w:styleId="B30E56E419ED5D4FA5BF03F3C98129A8">
    <w:name w:val="B30E56E419ED5D4FA5BF03F3C98129A8"/>
  </w:style>
  <w:style w:type="paragraph" w:customStyle="1" w:styleId="805597F2428A66488FB31B5DE8A47752">
    <w:name w:val="805597F2428A66488FB31B5DE8A47752"/>
  </w:style>
  <w:style w:type="paragraph" w:customStyle="1" w:styleId="D975AAE9C99F6E4796688CBA6FC99678">
    <w:name w:val="D975AAE9C99F6E4796688CBA6FC99678"/>
  </w:style>
  <w:style w:type="paragraph" w:customStyle="1" w:styleId="93D7D17D411C244A953BA0082EC69C10">
    <w:name w:val="93D7D17D411C244A953BA0082EC69C10"/>
  </w:style>
  <w:style w:type="paragraph" w:customStyle="1" w:styleId="B549B0AEE86A474ABBB1CEF88B15901C">
    <w:name w:val="B549B0AEE86A474ABBB1CEF88B15901C"/>
  </w:style>
  <w:style w:type="paragraph" w:customStyle="1" w:styleId="4C118B6D6987494598E274F4BF319A22">
    <w:name w:val="4C118B6D6987494598E274F4BF319A22"/>
  </w:style>
  <w:style w:type="paragraph" w:customStyle="1" w:styleId="FEE3D34DE379BB4895A1F0AB30F0D29A">
    <w:name w:val="FEE3D34DE379BB4895A1F0AB30F0D29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2374D59812B64DBDD536E82560C510">
    <w:name w:val="702374D59812B64DBDD536E82560C510"/>
  </w:style>
  <w:style w:type="paragraph" w:customStyle="1" w:styleId="E12FEDAC1CF2874F826C8D3F98ED8649">
    <w:name w:val="E12FEDAC1CF2874F826C8D3F98ED8649"/>
  </w:style>
  <w:style w:type="paragraph" w:customStyle="1" w:styleId="EDBCC925C80423469D5C5A9F164CBE4C">
    <w:name w:val="EDBCC925C80423469D5C5A9F164CBE4C"/>
  </w:style>
  <w:style w:type="paragraph" w:customStyle="1" w:styleId="FF1453544AC6DA47AD68F2C0BA30969A">
    <w:name w:val="FF1453544AC6DA47AD68F2C0BA30969A"/>
  </w:style>
  <w:style w:type="paragraph" w:customStyle="1" w:styleId="B30E56E419ED5D4FA5BF03F3C98129A8">
    <w:name w:val="B30E56E419ED5D4FA5BF03F3C98129A8"/>
  </w:style>
  <w:style w:type="paragraph" w:customStyle="1" w:styleId="805597F2428A66488FB31B5DE8A47752">
    <w:name w:val="805597F2428A66488FB31B5DE8A47752"/>
  </w:style>
  <w:style w:type="paragraph" w:customStyle="1" w:styleId="D975AAE9C99F6E4796688CBA6FC99678">
    <w:name w:val="D975AAE9C99F6E4796688CBA6FC99678"/>
  </w:style>
  <w:style w:type="paragraph" w:customStyle="1" w:styleId="93D7D17D411C244A953BA0082EC69C10">
    <w:name w:val="93D7D17D411C244A953BA0082EC69C10"/>
  </w:style>
  <w:style w:type="paragraph" w:customStyle="1" w:styleId="B549B0AEE86A474ABBB1CEF88B15901C">
    <w:name w:val="B549B0AEE86A474ABBB1CEF88B15901C"/>
  </w:style>
  <w:style w:type="paragraph" w:customStyle="1" w:styleId="4C118B6D6987494598E274F4BF319A22">
    <w:name w:val="4C118B6D6987494598E274F4BF319A22"/>
  </w:style>
  <w:style w:type="paragraph" w:customStyle="1" w:styleId="FEE3D34DE379BB4895A1F0AB30F0D29A">
    <w:name w:val="FEE3D34DE379BB4895A1F0AB30F0D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Samuel Coll</cp:lastModifiedBy>
  <cp:revision>1</cp:revision>
  <dcterms:created xsi:type="dcterms:W3CDTF">2014-03-10T20:06:00Z</dcterms:created>
  <dcterms:modified xsi:type="dcterms:W3CDTF">2014-03-10T20:17:00Z</dcterms:modified>
</cp:coreProperties>
</file>