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471CF29483845B0B1FF2BB74A0AD0D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2A694F96F64FCF91AB17968418AA7B"/>
            </w:placeholder>
            <w:text/>
          </w:sdtPr>
          <w:sdtEndPr/>
          <w:sdtContent>
            <w:tc>
              <w:tcPr>
                <w:tcW w:w="2073" w:type="dxa"/>
              </w:tcPr>
              <w:p w:rsidR="00B574C9" w:rsidRDefault="00705F05" w:rsidP="00705F05">
                <w:r>
                  <w:t>Jay</w:t>
                </w:r>
              </w:p>
            </w:tc>
          </w:sdtContent>
        </w:sdt>
        <w:sdt>
          <w:sdtPr>
            <w:alias w:val="Middle name"/>
            <w:tag w:val="authorMiddleName"/>
            <w:id w:val="-2076034781"/>
            <w:placeholder>
              <w:docPart w:val="41D6AE9421D14069B5393BA75294FEE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AF4971B656B405592309C4FB39FECDC"/>
            </w:placeholder>
            <w:text/>
          </w:sdtPr>
          <w:sdtEndPr/>
          <w:sdtContent>
            <w:tc>
              <w:tcPr>
                <w:tcW w:w="2642" w:type="dxa"/>
              </w:tcPr>
              <w:p w:rsidR="00B574C9" w:rsidRDefault="00705F05" w:rsidP="00705F05">
                <w:proofErr w:type="spellStart"/>
                <w:r>
                  <w:t>Hetrick</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E08419D0B4B4442BB0590ECA6CC484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B7E9A736C0D4ADCAA63C33F7E5DFA6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FFAC1FF4BF14A7CBA4CC260870B775C"/>
            </w:placeholder>
            <w:text/>
          </w:sdtPr>
          <w:sdtEndPr/>
          <w:sdtContent>
            <w:tc>
              <w:tcPr>
                <w:tcW w:w="9016" w:type="dxa"/>
                <w:tcMar>
                  <w:top w:w="113" w:type="dxa"/>
                  <w:bottom w:w="113" w:type="dxa"/>
                </w:tcMar>
              </w:tcPr>
              <w:p w:rsidR="003F0D73" w:rsidRPr="00FB589A" w:rsidRDefault="00705F05" w:rsidP="00705F05">
                <w:r>
                  <w:t xml:space="preserve">Art </w:t>
                </w:r>
                <w:proofErr w:type="spellStart"/>
                <w:r>
                  <w:t>Informel</w:t>
                </w:r>
                <w:proofErr w:type="spellEnd"/>
              </w:p>
            </w:tc>
          </w:sdtContent>
        </w:sdt>
      </w:tr>
      <w:tr w:rsidR="00464699" w:rsidTr="007821B0">
        <w:sdt>
          <w:sdtPr>
            <w:alias w:val="Variant headwords"/>
            <w:tag w:val="variantHeadwords"/>
            <w:id w:val="173464402"/>
            <w:placeholder>
              <w:docPart w:val="2C0DEC3F77AE4251BF36F5B6735E989C"/>
            </w:placeholder>
          </w:sdtPr>
          <w:sdtEndPr/>
          <w:sdtContent>
            <w:tc>
              <w:tcPr>
                <w:tcW w:w="9016" w:type="dxa"/>
                <w:tcMar>
                  <w:top w:w="113" w:type="dxa"/>
                  <w:bottom w:w="113" w:type="dxa"/>
                </w:tcMar>
              </w:tcPr>
              <w:p w:rsidR="00464699" w:rsidRDefault="00705F05" w:rsidP="00705F05">
                <w:proofErr w:type="spellStart"/>
                <w:r>
                  <w:t>Informalism</w:t>
                </w:r>
                <w:proofErr w:type="spellEnd"/>
                <w:r>
                  <w:t xml:space="preserve">, art </w:t>
                </w:r>
                <w:proofErr w:type="spellStart"/>
                <w:r>
                  <w:t>autre</w:t>
                </w:r>
                <w:proofErr w:type="spellEnd"/>
              </w:p>
            </w:tc>
          </w:sdtContent>
        </w:sdt>
      </w:tr>
      <w:tr w:rsidR="00E85A05" w:rsidTr="003F0D73">
        <w:sdt>
          <w:sdtPr>
            <w:alias w:val="Abstract"/>
            <w:tag w:val="abstract"/>
            <w:id w:val="-635871867"/>
            <w:placeholder>
              <w:docPart w:val="9BBEE43DE0D14C8F9C5EC382502C6EFE"/>
            </w:placeholder>
          </w:sdtPr>
          <w:sdtEndPr/>
          <w:sdtContent>
            <w:tc>
              <w:tcPr>
                <w:tcW w:w="9016" w:type="dxa"/>
                <w:tcMar>
                  <w:top w:w="113" w:type="dxa"/>
                  <w:bottom w:w="113" w:type="dxa"/>
                </w:tcMar>
              </w:tcPr>
              <w:p w:rsidR="00E85A05" w:rsidRDefault="00705F05" w:rsidP="00705F05">
                <w:r>
                  <w:t xml:space="preserve">The French term </w:t>
                </w:r>
                <w:proofErr w:type="spellStart"/>
                <w:r>
                  <w:rPr>
                    <w:rFonts w:ascii="Times New Roman Italic" w:hAnsi="Times New Roman Italic"/>
                  </w:rPr>
                  <w:t>informel</w:t>
                </w:r>
                <w:proofErr w:type="spellEnd"/>
                <w:r>
                  <w:t xml:space="preserve"> was used by the critic Michel </w:t>
                </w:r>
                <w:proofErr w:type="spellStart"/>
                <w:r>
                  <w:t>Tapié</w:t>
                </w:r>
                <w:proofErr w:type="spellEnd"/>
                <w:r>
                  <w:t xml:space="preserve"> in order to describe a new trend in </w:t>
                </w:r>
                <w:proofErr w:type="spellStart"/>
                <w:r>
                  <w:t>postwar</w:t>
                </w:r>
                <w:proofErr w:type="spellEnd"/>
                <w:r>
                  <w:t xml:space="preserve"> abstract art displayed at two Paris exhibitions</w:t>
                </w:r>
                <w:r>
                  <w:t xml:space="preserve"> in 1951</w:t>
                </w:r>
                <w:r>
                  <w:t>.</w:t>
                </w:r>
                <w:r>
                  <w:t xml:space="preserve"> </w:t>
                </w:r>
                <w:proofErr w:type="spellStart"/>
                <w:r>
                  <w:t>Tapié</w:t>
                </w:r>
                <w:proofErr w:type="spellEnd"/>
                <w:r>
                  <w:t xml:space="preserve"> connected the </w:t>
                </w:r>
                <w:proofErr w:type="spellStart"/>
                <w:r>
                  <w:rPr>
                    <w:rFonts w:ascii="Times New Roman Italic" w:hAnsi="Times New Roman Italic"/>
                  </w:rPr>
                  <w:t>informel</w:t>
                </w:r>
                <w:proofErr w:type="spellEnd"/>
                <w:r>
                  <w:t>, or unformed, with the raw material anarchy of the real.</w:t>
                </w:r>
                <w:r>
                  <w:t xml:space="preserve"> </w:t>
                </w:r>
                <w:r>
                  <w:t xml:space="preserve">In </w:t>
                </w:r>
                <w:r>
                  <w:t xml:space="preserve">his book </w:t>
                </w:r>
                <w:r>
                  <w:rPr>
                    <w:rFonts w:ascii="Times New Roman Italic" w:hAnsi="Times New Roman Italic"/>
                  </w:rPr>
                  <w:t xml:space="preserve">Un art </w:t>
                </w:r>
                <w:proofErr w:type="spellStart"/>
                <w:r>
                  <w:rPr>
                    <w:rFonts w:ascii="Times New Roman Italic" w:hAnsi="Times New Roman Italic"/>
                  </w:rPr>
                  <w:t>autre</w:t>
                </w:r>
                <w:proofErr w:type="spellEnd"/>
                <w:r>
                  <w:rPr>
                    <w:rFonts w:ascii="Times New Roman Italic" w:hAnsi="Times New Roman Italic"/>
                  </w:rPr>
                  <w:t xml:space="preserve"> </w:t>
                </w:r>
                <w:r>
                  <w:rPr>
                    <w:rFonts w:ascii="Times New Roman Italic" w:hAnsi="Times New Roman Italic"/>
                  </w:rPr>
                  <w:t xml:space="preserve">(1952), </w:t>
                </w:r>
                <w:proofErr w:type="spellStart"/>
                <w:r>
                  <w:t>Tapié</w:t>
                </w:r>
                <w:proofErr w:type="spellEnd"/>
                <w:r>
                  <w:t xml:space="preserve"> argued that art is “other” to the extent that it opens itself up to the unformed real in a way that radically breaks with the trajectory of modernist abstraction in terms of motivation, technique, and style.</w:t>
                </w:r>
              </w:p>
            </w:tc>
          </w:sdtContent>
        </w:sdt>
      </w:tr>
      <w:tr w:rsidR="003F0D73" w:rsidTr="003F0D73">
        <w:sdt>
          <w:sdtPr>
            <w:alias w:val="Article text"/>
            <w:tag w:val="articleText"/>
            <w:id w:val="634067588"/>
            <w:placeholder>
              <w:docPart w:val="0285512C20F84C54BB97E361F675DCE8"/>
            </w:placeholder>
          </w:sdtPr>
          <w:sdtEndPr/>
          <w:sdtContent>
            <w:tc>
              <w:tcPr>
                <w:tcW w:w="9016" w:type="dxa"/>
                <w:tcMar>
                  <w:top w:w="113" w:type="dxa"/>
                  <w:bottom w:w="113" w:type="dxa"/>
                </w:tcMar>
              </w:tcPr>
              <w:p w:rsidR="00705F05" w:rsidRDefault="00705F05" w:rsidP="001717C1">
                <w:r>
                  <w:t xml:space="preserve">The French term </w:t>
                </w:r>
                <w:proofErr w:type="spellStart"/>
                <w:r>
                  <w:rPr>
                    <w:rFonts w:ascii="Times New Roman Italic" w:hAnsi="Times New Roman Italic"/>
                  </w:rPr>
                  <w:t>informel</w:t>
                </w:r>
                <w:proofErr w:type="spellEnd"/>
                <w:r>
                  <w:t xml:space="preserve"> was used by the critic Michel </w:t>
                </w:r>
                <w:proofErr w:type="spellStart"/>
                <w:r>
                  <w:t>Tapié</w:t>
                </w:r>
                <w:proofErr w:type="spellEnd"/>
                <w:r>
                  <w:t xml:space="preserve"> in order to describe a new trend in postwar abstract art displayed at two Paris exhibitions in 1951. The first exhibition, held in March at </w:t>
                </w:r>
                <w:proofErr w:type="spellStart"/>
                <w:r>
                  <w:t>Galerie</w:t>
                </w:r>
                <w:proofErr w:type="spellEnd"/>
                <w:r>
                  <w:t xml:space="preserve"> Nina Dausset, brought together works by artists such as Hans </w:t>
                </w:r>
                <w:proofErr w:type="spellStart"/>
                <w:r>
                  <w:t>Hartung</w:t>
                </w:r>
                <w:proofErr w:type="spellEnd"/>
                <w:r>
                  <w:t xml:space="preserve">, Jean-Paul </w:t>
                </w:r>
                <w:proofErr w:type="spellStart"/>
                <w:r>
                  <w:t>Riopelle</w:t>
                </w:r>
                <w:proofErr w:type="spellEnd"/>
                <w:r>
                  <w:t xml:space="preserve">, Georges Mathieu, Camille </w:t>
                </w:r>
                <w:proofErr w:type="spellStart"/>
                <w:r>
                  <w:t>Bryen</w:t>
                </w:r>
                <w:proofErr w:type="spellEnd"/>
                <w:r>
                  <w:t xml:space="preserve">, Jackson Pollock, Willem de </w:t>
                </w:r>
                <w:proofErr w:type="spellStart"/>
                <w:r>
                  <w:t>Kooning</w:t>
                </w:r>
                <w:proofErr w:type="spellEnd"/>
                <w:r>
                  <w:t xml:space="preserve">, </w:t>
                </w:r>
                <w:r w:rsidR="001717C1" w:rsidRPr="001717C1">
                  <w:t xml:space="preserve">and </w:t>
                </w:r>
                <w:proofErr w:type="spellStart"/>
                <w:r w:rsidR="001717C1" w:rsidRPr="001717C1">
                  <w:t>Wols</w:t>
                </w:r>
                <w:proofErr w:type="spellEnd"/>
                <w:r w:rsidR="001717C1" w:rsidRPr="001717C1">
                  <w:t xml:space="preserve"> under the theme of “extreme tendencies in non-figurative painting.” </w:t>
                </w:r>
                <w:r>
                  <w:t xml:space="preserve">In his preface to the catalogue of this exhibition, </w:t>
                </w:r>
                <w:proofErr w:type="spellStart"/>
                <w:r>
                  <w:t>Tapié</w:t>
                </w:r>
                <w:proofErr w:type="spellEnd"/>
                <w:r>
                  <w:t xml:space="preserve"> connected the </w:t>
                </w:r>
                <w:proofErr w:type="spellStart"/>
                <w:r>
                  <w:rPr>
                    <w:rFonts w:ascii="Times New Roman Italic" w:hAnsi="Times New Roman Italic"/>
                  </w:rPr>
                  <w:t>informel</w:t>
                </w:r>
                <w:proofErr w:type="spellEnd"/>
                <w:r>
                  <w:t xml:space="preserve">, or unformed, with the raw material anarchy of the real. The second exhibition, entitled “Signs of the Unformed,” was organized by </w:t>
                </w:r>
                <w:proofErr w:type="spellStart"/>
                <w:r>
                  <w:t>Tapié</w:t>
                </w:r>
                <w:proofErr w:type="spellEnd"/>
                <w:r>
                  <w:t xml:space="preserve"> in November at Studio </w:t>
                </w:r>
                <w:proofErr w:type="spellStart"/>
                <w:r>
                  <w:t>Fracchetti</w:t>
                </w:r>
                <w:proofErr w:type="spellEnd"/>
                <w:r>
                  <w:t xml:space="preserve">, and included works by Jean </w:t>
                </w:r>
                <w:proofErr w:type="spellStart"/>
                <w:r>
                  <w:t>Fautrier</w:t>
                </w:r>
                <w:proofErr w:type="spellEnd"/>
                <w:r>
                  <w:t xml:space="preserve">, Henri </w:t>
                </w:r>
                <w:proofErr w:type="spellStart"/>
                <w:r>
                  <w:t>Michaux</w:t>
                </w:r>
                <w:proofErr w:type="spellEnd"/>
                <w:r>
                  <w:t xml:space="preserve">, Jean Dubuffet, </w:t>
                </w:r>
                <w:proofErr w:type="spellStart"/>
                <w:r>
                  <w:t>Iaroslav</w:t>
                </w:r>
                <w:proofErr w:type="spellEnd"/>
                <w:r>
                  <w:t xml:space="preserve"> </w:t>
                </w:r>
                <w:proofErr w:type="spellStart"/>
                <w:r>
                  <w:t>Serpan</w:t>
                </w:r>
                <w:proofErr w:type="spellEnd"/>
                <w:r>
                  <w:t xml:space="preserve">, Jean-Paul </w:t>
                </w:r>
                <w:proofErr w:type="spellStart"/>
                <w:r>
                  <w:t>Riopelle</w:t>
                </w:r>
                <w:proofErr w:type="spellEnd"/>
                <w:r>
                  <w:t xml:space="preserve">, and Georges Mathieu. The concept of the </w:t>
                </w:r>
                <w:proofErr w:type="spellStart"/>
                <w:r>
                  <w:t>informel</w:t>
                </w:r>
                <w:proofErr w:type="spellEnd"/>
                <w:r>
                  <w:t xml:space="preserve"> was </w:t>
                </w:r>
                <w:proofErr w:type="spellStart"/>
                <w:r>
                  <w:t>theorised</w:t>
                </w:r>
                <w:proofErr w:type="spellEnd"/>
                <w:r>
                  <w:t xml:space="preserve"> at length the following year in </w:t>
                </w:r>
                <w:proofErr w:type="spellStart"/>
                <w:r>
                  <w:t>Tapié’s</w:t>
                </w:r>
                <w:proofErr w:type="spellEnd"/>
                <w:r>
                  <w:t xml:space="preserve"> book </w:t>
                </w:r>
                <w:r>
                  <w:rPr>
                    <w:rFonts w:ascii="Times New Roman Italic" w:hAnsi="Times New Roman Italic"/>
                  </w:rPr>
                  <w:t xml:space="preserve">Un art </w:t>
                </w:r>
                <w:proofErr w:type="spellStart"/>
                <w:r>
                  <w:rPr>
                    <w:rFonts w:ascii="Times New Roman Italic" w:hAnsi="Times New Roman Italic"/>
                  </w:rPr>
                  <w:t>autre</w:t>
                </w:r>
                <w:proofErr w:type="spellEnd"/>
                <w:r>
                  <w:rPr>
                    <w:rFonts w:ascii="Times New Roman Italic" w:hAnsi="Times New Roman Italic"/>
                  </w:rPr>
                  <w:t xml:space="preserve"> </w:t>
                </w:r>
                <w:r>
                  <w:t xml:space="preserve">(usually but not </w:t>
                </w:r>
                <w:proofErr w:type="spellStart"/>
                <w:r>
                  <w:t>unproblematically</w:t>
                </w:r>
                <w:proofErr w:type="spellEnd"/>
                <w:r>
                  <w:t xml:space="preserve"> translated as </w:t>
                </w:r>
                <w:r>
                  <w:rPr>
                    <w:rFonts w:ascii="Times New Roman Italic" w:hAnsi="Times New Roman Italic"/>
                  </w:rPr>
                  <w:t>Art of Another Kind</w:t>
                </w:r>
                <w:r>
                  <w:t xml:space="preserve">). In this book, </w:t>
                </w:r>
                <w:proofErr w:type="spellStart"/>
                <w:r>
                  <w:t>Tapié</w:t>
                </w:r>
                <w:proofErr w:type="spellEnd"/>
                <w:r>
                  <w:t xml:space="preserve"> argued that art is “other” to the extent that it opens itself up to the unformed real in a way that radically breaks with the trajectory of modernist abstraction in terms of motivation, technique, and style.</w:t>
                </w:r>
              </w:p>
              <w:p w:rsidR="001717C1" w:rsidRDefault="001717C1" w:rsidP="001717C1"/>
              <w:p w:rsidR="001717C1" w:rsidRDefault="001717C1" w:rsidP="001717C1">
                <w:pPr>
                  <w:keepNext/>
                </w:pPr>
                <w:r>
                  <w:t>File: informel1.jpg</w:t>
                </w:r>
              </w:p>
              <w:p w:rsidR="00705F05" w:rsidRDefault="001717C1" w:rsidP="001717C1">
                <w:pPr>
                  <w:pStyle w:val="Caption"/>
                </w:pPr>
                <w:fldSimple w:instr=" SEQ Figure \* ARABIC ">
                  <w:r w:rsidR="00BD2BCD">
                    <w:rPr>
                      <w:noProof/>
                    </w:rPr>
                    <w:t>1</w:t>
                  </w:r>
                </w:fldSimple>
                <w:r>
                  <w:t xml:space="preserve"> </w:t>
                </w:r>
                <w:proofErr w:type="spellStart"/>
                <w:r w:rsidRPr="00095A95">
                  <w:t>Wols</w:t>
                </w:r>
                <w:proofErr w:type="spellEnd"/>
                <w:r w:rsidRPr="00095A95">
                  <w:t xml:space="preserve">, Bird, 1949, oil on canvas, 92 x 64 cm. </w:t>
                </w:r>
                <w:proofErr w:type="spellStart"/>
                <w:r w:rsidRPr="00095A95">
                  <w:t>Menil</w:t>
                </w:r>
                <w:proofErr w:type="spellEnd"/>
                <w:r w:rsidRPr="00095A95">
                  <w:t xml:space="preserve"> Collection, Houston</w:t>
                </w:r>
              </w:p>
              <w:p w:rsidR="00705F05" w:rsidRDefault="00705F05" w:rsidP="00705F05">
                <w:r>
                  <w:t xml:space="preserve">Resonating with the somber mood of the postwar period — in which, according to Theodore </w:t>
                </w:r>
                <w:proofErr w:type="spellStart"/>
                <w:r>
                  <w:t>Adorno’s</w:t>
                </w:r>
                <w:proofErr w:type="spellEnd"/>
                <w:r>
                  <w:t xml:space="preserve"> famous assertion, it was increasingly difficult to create works of art — </w:t>
                </w:r>
                <w:proofErr w:type="spellStart"/>
                <w:r>
                  <w:t>Tapié</w:t>
                </w:r>
                <w:proofErr w:type="spellEnd"/>
                <w:r>
                  <w:t xml:space="preserve"> wrote that the artist must now face the abyss of the real in an almost mystical pursuit. Invoking both Friedrich Nietzsche and St. John of the Cross, </w:t>
                </w:r>
                <w:proofErr w:type="spellStart"/>
                <w:r>
                  <w:t>Tapié</w:t>
                </w:r>
                <w:proofErr w:type="spellEnd"/>
                <w:r>
                  <w:t xml:space="preserve"> argued that the postwar artist must create not beautiful or pleasurable objects, but must first of all plunge the depths of the self and of the world without the aid of any philosophical or religious supports. That is, borrowing the title of the March 1951 exhibition, the </w:t>
                </w:r>
                <w:proofErr w:type="spellStart"/>
                <w:r>
                  <w:t>informel</w:t>
                </w:r>
                <w:proofErr w:type="spellEnd"/>
                <w:r>
                  <w:t xml:space="preserve"> artist must “confront vehemence.” </w:t>
                </w:r>
                <w:proofErr w:type="spellStart"/>
                <w:r>
                  <w:t>Tapié’s</w:t>
                </w:r>
                <w:proofErr w:type="spellEnd"/>
                <w:r>
                  <w:t xml:space="preserve"> view of the postwar artist paralleled Jean-Paul Sartre’s writings on art and existentialism a few years earlier (in which, incidentally, Sartre praised </w:t>
                </w:r>
                <w:proofErr w:type="spellStart"/>
                <w:r>
                  <w:t>Wols</w:t>
                </w:r>
                <w:proofErr w:type="spellEnd"/>
                <w:r>
                  <w:t xml:space="preserve"> as being the existentialist artist par excellence): both believed there were no aesthetic values that could be determined </w:t>
                </w:r>
                <w:r>
                  <w:rPr>
                    <w:rFonts w:ascii="Times New Roman Italic" w:hAnsi="Times New Roman Italic"/>
                  </w:rPr>
                  <w:t>a priori</w:t>
                </w:r>
                <w:r>
                  <w:t xml:space="preserve">. Rather, such values, if any, could only arise in the act of creating a work. </w:t>
                </w:r>
                <w:proofErr w:type="spellStart"/>
                <w:r>
                  <w:t>Tapié</w:t>
                </w:r>
                <w:proofErr w:type="spellEnd"/>
                <w:r>
                  <w:t xml:space="preserve"> strongly preferred the term art </w:t>
                </w:r>
                <w:proofErr w:type="spellStart"/>
                <w:r>
                  <w:t>autre</w:t>
                </w:r>
                <w:proofErr w:type="spellEnd"/>
                <w:r>
                  <w:t xml:space="preserve"> over </w:t>
                </w:r>
                <w:r w:rsidRPr="00767F22">
                  <w:t xml:space="preserve">Art </w:t>
                </w:r>
                <w:proofErr w:type="spellStart"/>
                <w:r w:rsidRPr="00767F22">
                  <w:lastRenderedPageBreak/>
                  <w:t>Informel</w:t>
                </w:r>
                <w:proofErr w:type="spellEnd"/>
                <w:r w:rsidRPr="00767F22">
                  <w:t>,</w:t>
                </w:r>
                <w:r>
                  <w:t xml:space="preserve"> since, for him, the unformed referred primarily to the anarchic depths of the real rather than the abstract workings on a canvas. He even claimed that “art </w:t>
                </w:r>
                <w:proofErr w:type="spellStart"/>
                <w:r>
                  <w:t>informel</w:t>
                </w:r>
                <w:proofErr w:type="spellEnd"/>
                <w:r>
                  <w:t xml:space="preserve">” was an absurd formulation and that there could never be, properly speaking, an Art </w:t>
                </w:r>
                <w:proofErr w:type="spellStart"/>
                <w:r>
                  <w:t>Informel</w:t>
                </w:r>
                <w:proofErr w:type="spellEnd"/>
                <w:r>
                  <w:t xml:space="preserve">. Because neither term was rigorously defined, aesthetically or stylistically, and thus remained somewhat ambiguous (even by the time Jean </w:t>
                </w:r>
                <w:proofErr w:type="spellStart"/>
                <w:r>
                  <w:t>Paulhan</w:t>
                </w:r>
                <w:proofErr w:type="spellEnd"/>
                <w:r>
                  <w:t xml:space="preserve"> published his book </w:t>
                </w:r>
                <w:proofErr w:type="spellStart"/>
                <w:r>
                  <w:rPr>
                    <w:rFonts w:ascii="Times New Roman Italic" w:hAnsi="Times New Roman Italic"/>
                  </w:rPr>
                  <w:t>L’Art</w:t>
                </w:r>
                <w:proofErr w:type="spellEnd"/>
                <w:r>
                  <w:rPr>
                    <w:rFonts w:ascii="Times New Roman Italic" w:hAnsi="Times New Roman Italic"/>
                  </w:rPr>
                  <w:t xml:space="preserve"> </w:t>
                </w:r>
                <w:proofErr w:type="spellStart"/>
                <w:r>
                  <w:rPr>
                    <w:rFonts w:ascii="Times New Roman Italic" w:hAnsi="Times New Roman Italic"/>
                  </w:rPr>
                  <w:t>Informel</w:t>
                </w:r>
                <w:proofErr w:type="spellEnd"/>
                <w:r>
                  <w:t xml:space="preserve"> in 1962) art </w:t>
                </w:r>
                <w:proofErr w:type="spellStart"/>
                <w:r>
                  <w:t>autre</w:t>
                </w:r>
                <w:proofErr w:type="spellEnd"/>
                <w:r>
                  <w:t xml:space="preserve"> and Art </w:t>
                </w:r>
                <w:proofErr w:type="spellStart"/>
                <w:r>
                  <w:t>Informel</w:t>
                </w:r>
                <w:proofErr w:type="spellEnd"/>
                <w:r>
                  <w:t xml:space="preserve"> became largely indistinguishable and the later, being more linguistically flexible, ultimately became the preferred term in the literature. It is notable that many of the artists associated with either of these terms, including </w:t>
                </w:r>
                <w:proofErr w:type="spellStart"/>
                <w:r>
                  <w:t>Fautrier</w:t>
                </w:r>
                <w:proofErr w:type="spellEnd"/>
                <w:r>
                  <w:t xml:space="preserve">, </w:t>
                </w:r>
                <w:proofErr w:type="spellStart"/>
                <w:r>
                  <w:t>Michaux</w:t>
                </w:r>
                <w:proofErr w:type="spellEnd"/>
                <w:r>
                  <w:t xml:space="preserve">, and Dubuffet, found both of them — along with </w:t>
                </w:r>
                <w:proofErr w:type="spellStart"/>
                <w:r>
                  <w:t>Tapié’s</w:t>
                </w:r>
                <w:proofErr w:type="spellEnd"/>
                <w:r>
                  <w:t xml:space="preserve"> desire to herd together such deeply individualistic and diverse artists — highly deplorable.</w:t>
                </w:r>
              </w:p>
              <w:p w:rsidR="00705F05" w:rsidRDefault="00705F05" w:rsidP="00705F05"/>
              <w:p w:rsidR="00BD2BCD" w:rsidRDefault="00BD2BCD" w:rsidP="00BD2BCD">
                <w:pPr>
                  <w:keepNext/>
                </w:pPr>
                <w:r>
                  <w:t>File: informel2.jpg</w:t>
                </w:r>
              </w:p>
              <w:p w:rsidR="00BD2BCD" w:rsidRDefault="00BD2BCD" w:rsidP="00BD2BCD">
                <w:pPr>
                  <w:pStyle w:val="Caption"/>
                </w:pPr>
                <w:fldSimple w:instr=" SEQ Figure \* ARABIC ">
                  <w:r>
                    <w:rPr>
                      <w:noProof/>
                    </w:rPr>
                    <w:t>2</w:t>
                  </w:r>
                </w:fldSimple>
                <w:r>
                  <w:t xml:space="preserve"> </w:t>
                </w:r>
                <w:r w:rsidRPr="00D52500">
                  <w:t xml:space="preserve">Jean </w:t>
                </w:r>
                <w:proofErr w:type="spellStart"/>
                <w:r w:rsidRPr="00D52500">
                  <w:t>Fautrier</w:t>
                </w:r>
                <w:proofErr w:type="spellEnd"/>
                <w:r w:rsidRPr="00D52500">
                  <w:t>, Head of a Hostage no. 14, 1944, mixed media on paper, 35 x 27 cm. Museum of Contemporary Art, Los Angeles</w:t>
                </w:r>
              </w:p>
              <w:p w:rsidR="00BD2BCD" w:rsidRDefault="00705F05" w:rsidP="00705F05">
                <w:r>
                  <w:t xml:space="preserve">Despite </w:t>
                </w:r>
                <w:proofErr w:type="spellStart"/>
                <w:r>
                  <w:t>Tapié’s</w:t>
                </w:r>
                <w:proofErr w:type="spellEnd"/>
                <w:r>
                  <w:t xml:space="preserve"> own particular differentiation between the appellations art </w:t>
                </w:r>
                <w:proofErr w:type="spellStart"/>
                <w:r>
                  <w:t>autre</w:t>
                </w:r>
                <w:proofErr w:type="spellEnd"/>
                <w:r>
                  <w:t xml:space="preserve"> and Art </w:t>
                </w:r>
                <w:proofErr w:type="spellStart"/>
                <w:r>
                  <w:t>Informel</w:t>
                </w:r>
                <w:proofErr w:type="spellEnd"/>
                <w:r>
                  <w:t xml:space="preserve">, and despite their subsequent conflation by some, the terms have also come to loosely describe two overlapping aspects of postwar European art. Other critics have used the name Art </w:t>
                </w:r>
                <w:proofErr w:type="spellStart"/>
                <w:r>
                  <w:t>Informel</w:t>
                </w:r>
                <w:proofErr w:type="spellEnd"/>
                <w:r>
                  <w:t xml:space="preserve"> as a subset of art </w:t>
                </w:r>
                <w:proofErr w:type="spellStart"/>
                <w:r>
                  <w:t>autre</w:t>
                </w:r>
                <w:proofErr w:type="spellEnd"/>
                <w:r>
                  <w:t>, which in this sense is a broader term that includes both figurative artworks, for example that of Dubuffet, and abstract or calligraphic ones, li</w:t>
                </w:r>
                <w:r w:rsidR="00BD2BCD">
                  <w:t xml:space="preserve">ke that of Mathieu and </w:t>
                </w:r>
                <w:proofErr w:type="spellStart"/>
                <w:r w:rsidR="00BD2BCD">
                  <w:t>Michaux.</w:t>
                </w:r>
                <w:proofErr w:type="spellEnd"/>
              </w:p>
              <w:p w:rsidR="00BD2BCD" w:rsidRDefault="00BD2BCD" w:rsidP="00705F05"/>
              <w:p w:rsidR="00BD2BCD" w:rsidRDefault="00BD2BCD" w:rsidP="00BD2BCD">
                <w:pPr>
                  <w:keepNext/>
                </w:pPr>
                <w:r>
                  <w:t>File: informel3.jpg</w:t>
                </w:r>
              </w:p>
              <w:p w:rsidR="00BD2BCD" w:rsidRDefault="00BD2BCD" w:rsidP="00BD2BCD">
                <w:pPr>
                  <w:pStyle w:val="Caption"/>
                </w:pPr>
                <w:fldSimple w:instr=" SEQ Figure \* ARABIC ">
                  <w:r>
                    <w:rPr>
                      <w:noProof/>
                    </w:rPr>
                    <w:t>3</w:t>
                  </w:r>
                </w:fldSimple>
                <w:r>
                  <w:t xml:space="preserve"> </w:t>
                </w:r>
                <w:r w:rsidRPr="0078280B">
                  <w:t>Georges Mathieu, Painting, 1952, oil on canvas, 200 x 300 cm. Solomon Guggenheim Museum, New York</w:t>
                </w:r>
              </w:p>
              <w:p w:rsidR="00705F05" w:rsidRDefault="00705F05" w:rsidP="00705F05">
                <w:r>
                  <w:t xml:space="preserve">Making matters even more convoluted, this abstract tendency has been referred to not only as Art </w:t>
                </w:r>
                <w:proofErr w:type="spellStart"/>
                <w:r>
                  <w:t>Informel</w:t>
                </w:r>
                <w:proofErr w:type="spellEnd"/>
                <w:r>
                  <w:t xml:space="preserve">, but also as </w:t>
                </w:r>
                <w:proofErr w:type="spellStart"/>
                <w:proofErr w:type="gramStart"/>
                <w:r>
                  <w:t>Tachism</w:t>
                </w:r>
                <w:proofErr w:type="spellEnd"/>
                <w:r>
                  <w:t>(</w:t>
                </w:r>
                <w:proofErr w:type="gramEnd"/>
                <w:r>
                  <w:t xml:space="preserve">e) and lyrical abstraction. Here Art </w:t>
                </w:r>
                <w:proofErr w:type="spellStart"/>
                <w:r>
                  <w:t>Informel</w:t>
                </w:r>
                <w:proofErr w:type="spellEnd"/>
                <w:r>
                  <w:t xml:space="preserve"> should be understood not as radically formless but rather as expressing a gestural, spontaneous, and anti-geometrical type of abstraction that conve</w:t>
                </w:r>
                <w:bookmarkStart w:id="0" w:name="_GoBack"/>
                <w:bookmarkEnd w:id="0"/>
                <w:r>
                  <w:t>ys a coming-to-form. In this sense, it has been uncritically described as the weak European counterpart of abstract expressionism (albeit on a more intimate scale by comparison) even though it is widely acknowledged that the two groups of artists seem to have developed more or less independently out of surrealist automatism. However,</w:t>
                </w:r>
                <w:r w:rsidRPr="003D3562">
                  <w:t xml:space="preserve"> this comparison is partly justified</w:t>
                </w:r>
                <w:r>
                  <w:t>,</w:t>
                </w:r>
                <w:r w:rsidRPr="003D3562">
                  <w:t xml:space="preserve"> since Mathieu’s delicately gestural works were often performed before an audience by squeezing or dripping paint directly from the tube, and since </w:t>
                </w:r>
                <w:proofErr w:type="spellStart"/>
                <w:r w:rsidRPr="003D3562">
                  <w:t>Fautrier’s</w:t>
                </w:r>
                <w:proofErr w:type="spellEnd"/>
                <w:r w:rsidRPr="003D3562">
                  <w:t xml:space="preserve"> heavily </w:t>
                </w:r>
                <w:proofErr w:type="spellStart"/>
                <w:r w:rsidRPr="003D3562">
                  <w:t>impastoed</w:t>
                </w:r>
                <w:proofErr w:type="spellEnd"/>
                <w:r w:rsidRPr="003D3562">
                  <w:t xml:space="preserve"> and much more somber works were often produced flat on the floor.</w:t>
                </w:r>
                <w:r>
                  <w:t xml:space="preserve"> </w:t>
                </w:r>
              </w:p>
              <w:p w:rsidR="00705F05" w:rsidRDefault="00705F05" w:rsidP="00705F05"/>
              <w:p w:rsidR="003F0D73" w:rsidRDefault="00705F05" w:rsidP="00705F05">
                <w:r>
                  <w:t xml:space="preserve">Ultimately, in talking about either art </w:t>
                </w:r>
                <w:proofErr w:type="spellStart"/>
                <w:r>
                  <w:t>autre</w:t>
                </w:r>
                <w:proofErr w:type="spellEnd"/>
                <w:r>
                  <w:t xml:space="preserve"> or Art </w:t>
                </w:r>
                <w:proofErr w:type="spellStart"/>
                <w:r>
                  <w:t>Informel</w:t>
                </w:r>
                <w:proofErr w:type="spellEnd"/>
                <w:r>
                  <w:t xml:space="preserve">, the thing that loosely unites the artists </w:t>
                </w:r>
                <w:proofErr w:type="spellStart"/>
                <w:r>
                  <w:t>Tapié</w:t>
                </w:r>
                <w:proofErr w:type="spellEnd"/>
                <w:r>
                  <w:t xml:space="preserve"> brought together in 1951 is a </w:t>
                </w:r>
                <w:proofErr w:type="spellStart"/>
                <w:r>
                  <w:t>postwar</w:t>
                </w:r>
                <w:proofErr w:type="spellEnd"/>
                <w:r>
                  <w:t xml:space="preserve"> existential angst and disgust, which manifests itself stylistically in the vehement refusal to engage with beautiful forms. Instead, half-formed images appear in their very emergence within a web of gestures or within a thick accumulation of matter as if capturing the moment of the artist’s encounter with both the abyss of the real (as </w:t>
                </w:r>
                <w:proofErr w:type="spellStart"/>
                <w:r>
                  <w:t>Tapié</w:t>
                </w:r>
                <w:proofErr w:type="spellEnd"/>
                <w:r>
                  <w:t xml:space="preserve"> called it) and the space of the canvas. Art </w:t>
                </w:r>
                <w:proofErr w:type="spellStart"/>
                <w:r>
                  <w:t>Informel</w:t>
                </w:r>
                <w:proofErr w:type="spellEnd"/>
                <w:r>
                  <w:t xml:space="preserve">, while not a coherent movement, is significant because it disallows the normative and unidirectional view of art history that transports us directly from Paris to New York following the Second World War. From 1960, for example, </w:t>
                </w:r>
                <w:proofErr w:type="spellStart"/>
                <w:r>
                  <w:t>Tapié</w:t>
                </w:r>
                <w:proofErr w:type="spellEnd"/>
                <w:r>
                  <w:t xml:space="preserve"> helped to foster Art </w:t>
                </w:r>
                <w:proofErr w:type="spellStart"/>
                <w:r>
                  <w:t>Informel</w:t>
                </w:r>
                <w:proofErr w:type="spellEnd"/>
                <w:r>
                  <w:t xml:space="preserve"> — as well as associated groups such as </w:t>
                </w:r>
                <w:proofErr w:type="spellStart"/>
                <w:r>
                  <w:t>spatialism</w:t>
                </w:r>
                <w:proofErr w:type="spellEnd"/>
                <w:r>
                  <w:t xml:space="preserve"> and </w:t>
                </w:r>
                <w:proofErr w:type="spellStart"/>
                <w:r>
                  <w:t>nuclearism</w:t>
                </w:r>
                <w:proofErr w:type="spellEnd"/>
                <w:r>
                  <w:t xml:space="preserve"> — in Italy by co-founding the International Centre of Aesthetic Research in Turin. </w:t>
                </w:r>
                <w:proofErr w:type="spellStart"/>
                <w:r>
                  <w:t>Tapié</w:t>
                </w:r>
                <w:proofErr w:type="spellEnd"/>
                <w:r>
                  <w:t xml:space="preserve"> also had a significant impact upon the development of the </w:t>
                </w:r>
                <w:proofErr w:type="spellStart"/>
                <w:r>
                  <w:t>Gutai</w:t>
                </w:r>
                <w:proofErr w:type="spellEnd"/>
                <w:r>
                  <w:t xml:space="preserve"> artists in Japan (who would, in turn, affect other important contemporary tendencies like </w:t>
                </w:r>
                <w:proofErr w:type="spellStart"/>
                <w:r>
                  <w:t>Fluxus</w:t>
                </w:r>
                <w:proofErr w:type="spellEnd"/>
                <w:r>
                  <w:t xml:space="preserve"> and Happenings) by visiting there in 1957 and 1958 in order to disseminate his ideas concerning art </w:t>
                </w:r>
                <w:proofErr w:type="spellStart"/>
                <w:r>
                  <w:t>autre</w:t>
                </w:r>
                <w:proofErr w:type="spellEnd"/>
                <w:r>
                  <w:t xml:space="preserve"> and art </w:t>
                </w:r>
                <w:proofErr w:type="spellStart"/>
                <w:r>
                  <w:t>informel</w:t>
                </w:r>
                <w:proofErr w:type="spellEnd"/>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64E82CC99064028A2D42E616E85644A"/>
              </w:placeholder>
            </w:sdtPr>
            <w:sdtEndPr/>
            <w:sdtContent>
              <w:p w:rsidR="001717C1" w:rsidRDefault="001717C1" w:rsidP="001717C1"/>
              <w:p w:rsidR="001717C1" w:rsidRDefault="001717C1" w:rsidP="001717C1">
                <w:sdt>
                  <w:sdtPr>
                    <w:id w:val="553980029"/>
                    <w:citation/>
                  </w:sdtPr>
                  <w:sdtContent>
                    <w:r>
                      <w:fldChar w:fldCharType="begin"/>
                    </w:r>
                    <w:r>
                      <w:rPr>
                        <w:lang w:val="en-US"/>
                      </w:rPr>
                      <w:instrText xml:space="preserve"> CITATION Car02 \l 1033 </w:instrText>
                    </w:r>
                    <w:r>
                      <w:fldChar w:fldCharType="separate"/>
                    </w:r>
                    <w:r>
                      <w:rPr>
                        <w:noProof/>
                        <w:lang w:val="en-US"/>
                      </w:rPr>
                      <w:t>(Carter and Butler)</w:t>
                    </w:r>
                    <w:r>
                      <w:fldChar w:fldCharType="end"/>
                    </w:r>
                  </w:sdtContent>
                </w:sdt>
              </w:p>
              <w:p w:rsidR="001717C1" w:rsidRDefault="001717C1" w:rsidP="001717C1"/>
              <w:p w:rsidR="001717C1" w:rsidRDefault="001717C1" w:rsidP="001717C1">
                <w:sdt>
                  <w:sdtPr>
                    <w:id w:val="-331374913"/>
                    <w:citation/>
                  </w:sdtPr>
                  <w:sdtContent>
                    <w:r>
                      <w:fldChar w:fldCharType="begin"/>
                    </w:r>
                    <w:r>
                      <w:rPr>
                        <w:lang w:val="en-US"/>
                      </w:rPr>
                      <w:instrText xml:space="preserve"> CITATION Haf65 \l 1033 </w:instrText>
                    </w:r>
                    <w:r>
                      <w:fldChar w:fldCharType="separate"/>
                    </w:r>
                    <w:r>
                      <w:rPr>
                        <w:noProof/>
                        <w:lang w:val="en-US"/>
                      </w:rPr>
                      <w:t>(Haftmann)</w:t>
                    </w:r>
                    <w:r>
                      <w:fldChar w:fldCharType="end"/>
                    </w:r>
                  </w:sdtContent>
                </w:sdt>
              </w:p>
              <w:p w:rsidR="001717C1" w:rsidRDefault="001717C1" w:rsidP="001717C1"/>
              <w:p w:rsidR="001717C1" w:rsidRDefault="001717C1" w:rsidP="001717C1">
                <w:sdt>
                  <w:sdtPr>
                    <w:id w:val="-852956391"/>
                    <w:citation/>
                  </w:sdtPr>
                  <w:sdtContent>
                    <w:r>
                      <w:fldChar w:fldCharType="begin"/>
                    </w:r>
                    <w:r>
                      <w:rPr>
                        <w:lang w:val="en-US"/>
                      </w:rPr>
                      <w:instrText xml:space="preserve"> CITATION Mar071 \l 1033 </w:instrText>
                    </w:r>
                    <w:r>
                      <w:fldChar w:fldCharType="separate"/>
                    </w:r>
                    <w:r>
                      <w:rPr>
                        <w:noProof/>
                        <w:lang w:val="en-US"/>
                      </w:rPr>
                      <w:t>(Marter)</w:t>
                    </w:r>
                    <w:r>
                      <w:fldChar w:fldCharType="end"/>
                    </w:r>
                  </w:sdtContent>
                </w:sdt>
              </w:p>
              <w:p w:rsidR="001717C1" w:rsidRDefault="001717C1" w:rsidP="001717C1"/>
              <w:p w:rsidR="001717C1" w:rsidRDefault="001717C1" w:rsidP="001717C1">
                <w:sdt>
                  <w:sdtPr>
                    <w:id w:val="2014027862"/>
                    <w:citation/>
                  </w:sdtPr>
                  <w:sdtContent>
                    <w:r>
                      <w:fldChar w:fldCharType="begin"/>
                    </w:r>
                    <w:r>
                      <w:rPr>
                        <w:lang w:val="en-US"/>
                      </w:rPr>
                      <w:instrText xml:space="preserve"> CITATION Mor94 \l 1033 </w:instrText>
                    </w:r>
                    <w:r>
                      <w:fldChar w:fldCharType="separate"/>
                    </w:r>
                    <w:r>
                      <w:rPr>
                        <w:noProof/>
                        <w:lang w:val="en-US"/>
                      </w:rPr>
                      <w:t>(Morris)</w:t>
                    </w:r>
                    <w:r>
                      <w:fldChar w:fldCharType="end"/>
                    </w:r>
                  </w:sdtContent>
                </w:sdt>
              </w:p>
              <w:p w:rsidR="001717C1" w:rsidRDefault="001717C1" w:rsidP="001717C1"/>
              <w:p w:rsidR="001717C1" w:rsidRDefault="001717C1" w:rsidP="001717C1">
                <w:sdt>
                  <w:sdtPr>
                    <w:id w:val="1660430395"/>
                    <w:citation/>
                  </w:sdtPr>
                  <w:sdtContent>
                    <w:r>
                      <w:fldChar w:fldCharType="begin"/>
                    </w:r>
                    <w:r>
                      <w:rPr>
                        <w:lang w:val="en-US"/>
                      </w:rPr>
                      <w:instrText xml:space="preserve"> CITATION Sch12 \l 1033 </w:instrText>
                    </w:r>
                    <w:r>
                      <w:fldChar w:fldCharType="separate"/>
                    </w:r>
                    <w:r>
                      <w:rPr>
                        <w:noProof/>
                        <w:lang w:val="en-US"/>
                      </w:rPr>
                      <w:t>(Schimmel)</w:t>
                    </w:r>
                    <w:r>
                      <w:fldChar w:fldCharType="end"/>
                    </w:r>
                  </w:sdtContent>
                </w:sdt>
              </w:p>
              <w:p w:rsidR="001717C1" w:rsidRDefault="001717C1" w:rsidP="001717C1"/>
              <w:p w:rsidR="001717C1" w:rsidRDefault="001717C1" w:rsidP="001717C1">
                <w:sdt>
                  <w:sdtPr>
                    <w:id w:val="-1795977875"/>
                    <w:citation/>
                  </w:sdtPr>
                  <w:sdtContent>
                    <w:r>
                      <w:fldChar w:fldCharType="begin"/>
                    </w:r>
                    <w:r>
                      <w:rPr>
                        <w:lang w:val="en-US"/>
                      </w:rPr>
                      <w:instrText xml:space="preserve"> CITATION Tap68 \l 1033 </w:instrText>
                    </w:r>
                    <w:r>
                      <w:fldChar w:fldCharType="separate"/>
                    </w:r>
                    <w:r>
                      <w:rPr>
                        <w:noProof/>
                        <w:lang w:val="en-US"/>
                      </w:rPr>
                      <w:t>(Tapié)</w:t>
                    </w:r>
                    <w:r>
                      <w:fldChar w:fldCharType="end"/>
                    </w:r>
                  </w:sdtContent>
                </w:sdt>
              </w:p>
              <w:p w:rsidR="001717C1" w:rsidRDefault="001717C1" w:rsidP="001717C1"/>
              <w:p w:rsidR="001717C1" w:rsidRDefault="001717C1" w:rsidP="001717C1">
                <w:sdt>
                  <w:sdtPr>
                    <w:id w:val="512421491"/>
                    <w:citation/>
                  </w:sdtPr>
                  <w:sdtContent>
                    <w:r>
                      <w:fldChar w:fldCharType="begin"/>
                    </w:r>
                    <w:r>
                      <w:rPr>
                        <w:lang w:val="en-US"/>
                      </w:rPr>
                      <w:instrText xml:space="preserve"> CITATION Tap52 \l 1033 </w:instrText>
                    </w:r>
                    <w:r>
                      <w:fldChar w:fldCharType="separate"/>
                    </w:r>
                    <w:r>
                      <w:rPr>
                        <w:noProof/>
                        <w:lang w:val="en-US"/>
                      </w:rPr>
                      <w:t>(Tapié, The Significant Message of Georges Mathieu)</w:t>
                    </w:r>
                    <w:r>
                      <w:fldChar w:fldCharType="end"/>
                    </w:r>
                  </w:sdtContent>
                </w:sdt>
              </w:p>
              <w:p w:rsidR="003235A7" w:rsidRDefault="00F47D8B" w:rsidP="001717C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D8B" w:rsidRDefault="00F47D8B" w:rsidP="007A0D55">
      <w:pPr>
        <w:spacing w:after="0" w:line="240" w:lineRule="auto"/>
      </w:pPr>
      <w:r>
        <w:separator/>
      </w:r>
    </w:p>
  </w:endnote>
  <w:endnote w:type="continuationSeparator" w:id="0">
    <w:p w:rsidR="00F47D8B" w:rsidRDefault="00F47D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Times New Roman Italic">
    <w:panose1 w:val="02020503050405090304"/>
    <w:charset w:val="00"/>
    <w:family w:val="auto"/>
    <w:pitch w:val="variable"/>
    <w:sig w:usb0="E0000AFF" w:usb1="00007843" w:usb2="0000000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D8B" w:rsidRDefault="00F47D8B" w:rsidP="007A0D55">
      <w:pPr>
        <w:spacing w:after="0" w:line="240" w:lineRule="auto"/>
      </w:pPr>
      <w:r>
        <w:separator/>
      </w:r>
    </w:p>
  </w:footnote>
  <w:footnote w:type="continuationSeparator" w:id="0">
    <w:p w:rsidR="00F47D8B" w:rsidRDefault="00F47D8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05"/>
    <w:rsid w:val="00032559"/>
    <w:rsid w:val="00052040"/>
    <w:rsid w:val="000B25AE"/>
    <w:rsid w:val="000B55AB"/>
    <w:rsid w:val="000D24DC"/>
    <w:rsid w:val="00101B2E"/>
    <w:rsid w:val="00116FA0"/>
    <w:rsid w:val="0015114C"/>
    <w:rsid w:val="001717C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5F0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2BCD"/>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7D8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5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F05"/>
    <w:rPr>
      <w:rFonts w:ascii="Tahoma" w:hAnsi="Tahoma" w:cs="Tahoma"/>
      <w:sz w:val="16"/>
      <w:szCs w:val="16"/>
    </w:rPr>
  </w:style>
  <w:style w:type="paragraph" w:customStyle="1" w:styleId="Body">
    <w:name w:val="Body"/>
    <w:rsid w:val="00705F05"/>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1717C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5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F05"/>
    <w:rPr>
      <w:rFonts w:ascii="Tahoma" w:hAnsi="Tahoma" w:cs="Tahoma"/>
      <w:sz w:val="16"/>
      <w:szCs w:val="16"/>
    </w:rPr>
  </w:style>
  <w:style w:type="paragraph" w:customStyle="1" w:styleId="Body">
    <w:name w:val="Body"/>
    <w:rsid w:val="00705F05"/>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1717C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71CF29483845B0B1FF2BB74A0AD0D0"/>
        <w:category>
          <w:name w:val="General"/>
          <w:gallery w:val="placeholder"/>
        </w:category>
        <w:types>
          <w:type w:val="bbPlcHdr"/>
        </w:types>
        <w:behaviors>
          <w:behavior w:val="content"/>
        </w:behaviors>
        <w:guid w:val="{FA4DDFA2-9903-4431-B088-DD5DCAD5B915}"/>
      </w:docPartPr>
      <w:docPartBody>
        <w:p w:rsidR="00000000" w:rsidRDefault="00A733D7">
          <w:pPr>
            <w:pStyle w:val="4471CF29483845B0B1FF2BB74A0AD0D0"/>
          </w:pPr>
          <w:r w:rsidRPr="00CC586D">
            <w:rPr>
              <w:rStyle w:val="PlaceholderText"/>
              <w:b/>
              <w:color w:val="FFFFFF" w:themeColor="background1"/>
            </w:rPr>
            <w:t>[Salutation]</w:t>
          </w:r>
        </w:p>
      </w:docPartBody>
    </w:docPart>
    <w:docPart>
      <w:docPartPr>
        <w:name w:val="142A694F96F64FCF91AB17968418AA7B"/>
        <w:category>
          <w:name w:val="General"/>
          <w:gallery w:val="placeholder"/>
        </w:category>
        <w:types>
          <w:type w:val="bbPlcHdr"/>
        </w:types>
        <w:behaviors>
          <w:behavior w:val="content"/>
        </w:behaviors>
        <w:guid w:val="{40754FB1-D6B2-42B8-A3A1-EBAEB533342C}"/>
      </w:docPartPr>
      <w:docPartBody>
        <w:p w:rsidR="00000000" w:rsidRDefault="00A733D7">
          <w:pPr>
            <w:pStyle w:val="142A694F96F64FCF91AB17968418AA7B"/>
          </w:pPr>
          <w:r>
            <w:rPr>
              <w:rStyle w:val="PlaceholderText"/>
            </w:rPr>
            <w:t>[First name]</w:t>
          </w:r>
        </w:p>
      </w:docPartBody>
    </w:docPart>
    <w:docPart>
      <w:docPartPr>
        <w:name w:val="41D6AE9421D14069B5393BA75294FEE7"/>
        <w:category>
          <w:name w:val="General"/>
          <w:gallery w:val="placeholder"/>
        </w:category>
        <w:types>
          <w:type w:val="bbPlcHdr"/>
        </w:types>
        <w:behaviors>
          <w:behavior w:val="content"/>
        </w:behaviors>
        <w:guid w:val="{ECD77296-F4CE-4694-B887-B5C038803062}"/>
      </w:docPartPr>
      <w:docPartBody>
        <w:p w:rsidR="00000000" w:rsidRDefault="00A733D7">
          <w:pPr>
            <w:pStyle w:val="41D6AE9421D14069B5393BA75294FEE7"/>
          </w:pPr>
          <w:r>
            <w:rPr>
              <w:rStyle w:val="PlaceholderText"/>
            </w:rPr>
            <w:t>[Middle name]</w:t>
          </w:r>
        </w:p>
      </w:docPartBody>
    </w:docPart>
    <w:docPart>
      <w:docPartPr>
        <w:name w:val="7AF4971B656B405592309C4FB39FECDC"/>
        <w:category>
          <w:name w:val="General"/>
          <w:gallery w:val="placeholder"/>
        </w:category>
        <w:types>
          <w:type w:val="bbPlcHdr"/>
        </w:types>
        <w:behaviors>
          <w:behavior w:val="content"/>
        </w:behaviors>
        <w:guid w:val="{573B87BE-2C4B-4C10-9727-FF718FB7CA3E}"/>
      </w:docPartPr>
      <w:docPartBody>
        <w:p w:rsidR="00000000" w:rsidRDefault="00A733D7">
          <w:pPr>
            <w:pStyle w:val="7AF4971B656B405592309C4FB39FECDC"/>
          </w:pPr>
          <w:r>
            <w:rPr>
              <w:rStyle w:val="PlaceholderText"/>
            </w:rPr>
            <w:t>[Last</w:t>
          </w:r>
          <w:r>
            <w:rPr>
              <w:rStyle w:val="PlaceholderText"/>
            </w:rPr>
            <w:t xml:space="preserve"> name]</w:t>
          </w:r>
        </w:p>
      </w:docPartBody>
    </w:docPart>
    <w:docPart>
      <w:docPartPr>
        <w:name w:val="FE08419D0B4B4442BB0590ECA6CC484A"/>
        <w:category>
          <w:name w:val="General"/>
          <w:gallery w:val="placeholder"/>
        </w:category>
        <w:types>
          <w:type w:val="bbPlcHdr"/>
        </w:types>
        <w:behaviors>
          <w:behavior w:val="content"/>
        </w:behaviors>
        <w:guid w:val="{393F50DF-CB1D-4E1F-A32D-A423642DF114}"/>
      </w:docPartPr>
      <w:docPartBody>
        <w:p w:rsidR="00000000" w:rsidRDefault="00A733D7">
          <w:pPr>
            <w:pStyle w:val="FE08419D0B4B4442BB0590ECA6CC484A"/>
          </w:pPr>
          <w:r>
            <w:rPr>
              <w:rStyle w:val="PlaceholderText"/>
            </w:rPr>
            <w:t>[Enter your biography]</w:t>
          </w:r>
        </w:p>
      </w:docPartBody>
    </w:docPart>
    <w:docPart>
      <w:docPartPr>
        <w:name w:val="4B7E9A736C0D4ADCAA63C33F7E5DFA63"/>
        <w:category>
          <w:name w:val="General"/>
          <w:gallery w:val="placeholder"/>
        </w:category>
        <w:types>
          <w:type w:val="bbPlcHdr"/>
        </w:types>
        <w:behaviors>
          <w:behavior w:val="content"/>
        </w:behaviors>
        <w:guid w:val="{16C05DD3-CB2A-4618-980B-F21A5AD6DAFC}"/>
      </w:docPartPr>
      <w:docPartBody>
        <w:p w:rsidR="00000000" w:rsidRDefault="00A733D7">
          <w:pPr>
            <w:pStyle w:val="4B7E9A736C0D4ADCAA63C33F7E5DFA63"/>
          </w:pPr>
          <w:r>
            <w:rPr>
              <w:rStyle w:val="PlaceholderText"/>
            </w:rPr>
            <w:t>[Enter the institution with which you are affiliated]</w:t>
          </w:r>
        </w:p>
      </w:docPartBody>
    </w:docPart>
    <w:docPart>
      <w:docPartPr>
        <w:name w:val="FFFAC1FF4BF14A7CBA4CC260870B775C"/>
        <w:category>
          <w:name w:val="General"/>
          <w:gallery w:val="placeholder"/>
        </w:category>
        <w:types>
          <w:type w:val="bbPlcHdr"/>
        </w:types>
        <w:behaviors>
          <w:behavior w:val="content"/>
        </w:behaviors>
        <w:guid w:val="{BF70D4E9-EEFA-4763-8B8C-041AF9EBB325}"/>
      </w:docPartPr>
      <w:docPartBody>
        <w:p w:rsidR="00000000" w:rsidRDefault="00A733D7">
          <w:pPr>
            <w:pStyle w:val="FFFAC1FF4BF14A7CBA4CC260870B775C"/>
          </w:pPr>
          <w:r w:rsidRPr="00EF74F7">
            <w:rPr>
              <w:b/>
              <w:color w:val="808080" w:themeColor="background1" w:themeShade="80"/>
            </w:rPr>
            <w:t>[Enter the headword for your article]</w:t>
          </w:r>
        </w:p>
      </w:docPartBody>
    </w:docPart>
    <w:docPart>
      <w:docPartPr>
        <w:name w:val="2C0DEC3F77AE4251BF36F5B6735E989C"/>
        <w:category>
          <w:name w:val="General"/>
          <w:gallery w:val="placeholder"/>
        </w:category>
        <w:types>
          <w:type w:val="bbPlcHdr"/>
        </w:types>
        <w:behaviors>
          <w:behavior w:val="content"/>
        </w:behaviors>
        <w:guid w:val="{DCBA538A-E281-4479-B4D4-E95ADA4905EE}"/>
      </w:docPartPr>
      <w:docPartBody>
        <w:p w:rsidR="00000000" w:rsidRDefault="00A733D7">
          <w:pPr>
            <w:pStyle w:val="2C0DEC3F77AE4251BF36F5B6735E98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BEE43DE0D14C8F9C5EC382502C6EFE"/>
        <w:category>
          <w:name w:val="General"/>
          <w:gallery w:val="placeholder"/>
        </w:category>
        <w:types>
          <w:type w:val="bbPlcHdr"/>
        </w:types>
        <w:behaviors>
          <w:behavior w:val="content"/>
        </w:behaviors>
        <w:guid w:val="{EFC7563E-E5A1-48D0-AB2E-2BEA10AF5396}"/>
      </w:docPartPr>
      <w:docPartBody>
        <w:p w:rsidR="00000000" w:rsidRDefault="00A733D7">
          <w:pPr>
            <w:pStyle w:val="9BBEE43DE0D14C8F9C5EC382502C6E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85512C20F84C54BB97E361F675DCE8"/>
        <w:category>
          <w:name w:val="General"/>
          <w:gallery w:val="placeholder"/>
        </w:category>
        <w:types>
          <w:type w:val="bbPlcHdr"/>
        </w:types>
        <w:behaviors>
          <w:behavior w:val="content"/>
        </w:behaviors>
        <w:guid w:val="{0BE74236-8695-496C-B61B-6545BA9383C9}"/>
      </w:docPartPr>
      <w:docPartBody>
        <w:p w:rsidR="00000000" w:rsidRDefault="00A733D7">
          <w:pPr>
            <w:pStyle w:val="0285512C20F84C54BB97E361F675DC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4E82CC99064028A2D42E616E85644A"/>
        <w:category>
          <w:name w:val="General"/>
          <w:gallery w:val="placeholder"/>
        </w:category>
        <w:types>
          <w:type w:val="bbPlcHdr"/>
        </w:types>
        <w:behaviors>
          <w:behavior w:val="content"/>
        </w:behaviors>
        <w:guid w:val="{546AD184-3588-477F-963F-A76358E5F01A}"/>
      </w:docPartPr>
      <w:docPartBody>
        <w:p w:rsidR="00000000" w:rsidRDefault="00A733D7">
          <w:pPr>
            <w:pStyle w:val="464E82CC99064028A2D42E616E85644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Times New Roman Italic">
    <w:panose1 w:val="02020503050405090304"/>
    <w:charset w:val="00"/>
    <w:family w:val="auto"/>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D7"/>
    <w:rsid w:val="00A733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71CF29483845B0B1FF2BB74A0AD0D0">
    <w:name w:val="4471CF29483845B0B1FF2BB74A0AD0D0"/>
  </w:style>
  <w:style w:type="paragraph" w:customStyle="1" w:styleId="142A694F96F64FCF91AB17968418AA7B">
    <w:name w:val="142A694F96F64FCF91AB17968418AA7B"/>
  </w:style>
  <w:style w:type="paragraph" w:customStyle="1" w:styleId="41D6AE9421D14069B5393BA75294FEE7">
    <w:name w:val="41D6AE9421D14069B5393BA75294FEE7"/>
  </w:style>
  <w:style w:type="paragraph" w:customStyle="1" w:styleId="7AF4971B656B405592309C4FB39FECDC">
    <w:name w:val="7AF4971B656B405592309C4FB39FECDC"/>
  </w:style>
  <w:style w:type="paragraph" w:customStyle="1" w:styleId="FE08419D0B4B4442BB0590ECA6CC484A">
    <w:name w:val="FE08419D0B4B4442BB0590ECA6CC484A"/>
  </w:style>
  <w:style w:type="paragraph" w:customStyle="1" w:styleId="4B7E9A736C0D4ADCAA63C33F7E5DFA63">
    <w:name w:val="4B7E9A736C0D4ADCAA63C33F7E5DFA63"/>
  </w:style>
  <w:style w:type="paragraph" w:customStyle="1" w:styleId="FFFAC1FF4BF14A7CBA4CC260870B775C">
    <w:name w:val="FFFAC1FF4BF14A7CBA4CC260870B775C"/>
  </w:style>
  <w:style w:type="paragraph" w:customStyle="1" w:styleId="2C0DEC3F77AE4251BF36F5B6735E989C">
    <w:name w:val="2C0DEC3F77AE4251BF36F5B6735E989C"/>
  </w:style>
  <w:style w:type="paragraph" w:customStyle="1" w:styleId="9BBEE43DE0D14C8F9C5EC382502C6EFE">
    <w:name w:val="9BBEE43DE0D14C8F9C5EC382502C6EFE"/>
  </w:style>
  <w:style w:type="paragraph" w:customStyle="1" w:styleId="0285512C20F84C54BB97E361F675DCE8">
    <w:name w:val="0285512C20F84C54BB97E361F675DCE8"/>
  </w:style>
  <w:style w:type="paragraph" w:customStyle="1" w:styleId="464E82CC99064028A2D42E616E85644A">
    <w:name w:val="464E82CC99064028A2D42E616E8564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71CF29483845B0B1FF2BB74A0AD0D0">
    <w:name w:val="4471CF29483845B0B1FF2BB74A0AD0D0"/>
  </w:style>
  <w:style w:type="paragraph" w:customStyle="1" w:styleId="142A694F96F64FCF91AB17968418AA7B">
    <w:name w:val="142A694F96F64FCF91AB17968418AA7B"/>
  </w:style>
  <w:style w:type="paragraph" w:customStyle="1" w:styleId="41D6AE9421D14069B5393BA75294FEE7">
    <w:name w:val="41D6AE9421D14069B5393BA75294FEE7"/>
  </w:style>
  <w:style w:type="paragraph" w:customStyle="1" w:styleId="7AF4971B656B405592309C4FB39FECDC">
    <w:name w:val="7AF4971B656B405592309C4FB39FECDC"/>
  </w:style>
  <w:style w:type="paragraph" w:customStyle="1" w:styleId="FE08419D0B4B4442BB0590ECA6CC484A">
    <w:name w:val="FE08419D0B4B4442BB0590ECA6CC484A"/>
  </w:style>
  <w:style w:type="paragraph" w:customStyle="1" w:styleId="4B7E9A736C0D4ADCAA63C33F7E5DFA63">
    <w:name w:val="4B7E9A736C0D4ADCAA63C33F7E5DFA63"/>
  </w:style>
  <w:style w:type="paragraph" w:customStyle="1" w:styleId="FFFAC1FF4BF14A7CBA4CC260870B775C">
    <w:name w:val="FFFAC1FF4BF14A7CBA4CC260870B775C"/>
  </w:style>
  <w:style w:type="paragraph" w:customStyle="1" w:styleId="2C0DEC3F77AE4251BF36F5B6735E989C">
    <w:name w:val="2C0DEC3F77AE4251BF36F5B6735E989C"/>
  </w:style>
  <w:style w:type="paragraph" w:customStyle="1" w:styleId="9BBEE43DE0D14C8F9C5EC382502C6EFE">
    <w:name w:val="9BBEE43DE0D14C8F9C5EC382502C6EFE"/>
  </w:style>
  <w:style w:type="paragraph" w:customStyle="1" w:styleId="0285512C20F84C54BB97E361F675DCE8">
    <w:name w:val="0285512C20F84C54BB97E361F675DCE8"/>
  </w:style>
  <w:style w:type="paragraph" w:customStyle="1" w:styleId="464E82CC99064028A2D42E616E85644A">
    <w:name w:val="464E82CC99064028A2D42E616E8564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Car02</b:Tag>
    <b:SourceType>Book</b:SourceType>
    <b:Guid>{81A28067-DBBA-4905-A6F7-3D09A19A42B3}</b:Guid>
    <b:Title>Jean Fautrier</b:Title>
    <b:Year>2002</b:Year>
    <b:City>New Haven</b:City>
    <b:StateProvince>Yale UP</b:StateProvince>
    <b:Author>
      <b:Editor>
        <b:NameList>
          <b:Person>
            <b:Last>Carter</b:Last>
            <b:First>Curtis</b:First>
          </b:Person>
          <b:Person>
            <b:Last>Butler</b:Last>
            <b:First>Karen</b:First>
          </b:Person>
        </b:NameList>
      </b:Editor>
    </b:Author>
    <b:RefOrder>1</b:RefOrder>
  </b:Source>
  <b:Source>
    <b:Tag>Haf65</b:Tag>
    <b:SourceType>Book</b:SourceType>
    <b:Guid>{76E8D244-C32F-41F1-8B6D-FF30B5DE5C38}</b:Guid>
    <b:Title>Wols</b:Title>
    <b:Year>1965</b:Year>
    <b:City>New York</b:City>
    <b:Publisher>Harry Abrams</b:Publisher>
    <b:Author>
      <b:Editor>
        <b:NameList>
          <b:Person>
            <b:Last>Haftmann</b:Last>
            <b:First>Werner</b:First>
          </b:Person>
        </b:NameList>
      </b:Editor>
    </b:Author>
    <b:RefOrder>2</b:RefOrder>
  </b:Source>
  <b:Source>
    <b:Tag>Mar071</b:Tag>
    <b:SourceType>Book</b:SourceType>
    <b:Guid>{BB21A24A-7C3D-4F15-9122-E317B9FBBC6F}</b:Guid>
    <b:Title>Abstract Expressionism: The International Context</b:Title>
    <b:Year>2007</b:Year>
    <b:Publisher>Rutgers UP</b:Publisher>
    <b:StateProvince>New Brunswick</b:StateProvince>
    <b:Author>
      <b:Editor>
        <b:NameList>
          <b:Person>
            <b:Last>Marter</b:Last>
            <b:First>Joan</b:First>
          </b:Person>
        </b:NameList>
      </b:Editor>
    </b:Author>
    <b:RefOrder>3</b:RefOrder>
  </b:Source>
  <b:Source>
    <b:Tag>Mor94</b:Tag>
    <b:SourceType>Book</b:SourceType>
    <b:Guid>{344B9A5B-5854-4A92-9FED-10404818741B}</b:Guid>
    <b:Author>
      <b:Editor>
        <b:NameList>
          <b:Person>
            <b:Last>Morris</b:Last>
            <b:First>Frances</b:First>
          </b:Person>
        </b:NameList>
      </b:Editor>
    </b:Author>
    <b:Title>Paris Post War: Art and Existentialism 1945-55</b:Title>
    <b:Year>1994</b:Year>
    <b:City>London</b:City>
    <b:Publisher>Tate</b:Publisher>
    <b:RefOrder>4</b:RefOrder>
  </b:Source>
  <b:Source>
    <b:Tag>Sch12</b:Tag>
    <b:SourceType>Book</b:SourceType>
    <b:Guid>{E0E243E4-E9D6-44BF-B83B-592EAABB81DD}</b:Guid>
    <b:Title>Destroy the Picture: Painting the Void, 1949-1962</b:Title>
    <b:Year>2012</b:Year>
    <b:City>New York</b:City>
    <b:Publisher>Skira Rizzoli</b:Publisher>
    <b:Author>
      <b:Editor>
        <b:NameList>
          <b:Person>
            <b:Last>Schimmel</b:Last>
            <b:First>Paul</b:First>
          </b:Person>
        </b:NameList>
      </b:Editor>
    </b:Author>
    <b:RefOrder>5</b:RefOrder>
  </b:Source>
  <b:Source>
    <b:Tag>Tap68</b:Tag>
    <b:SourceType>BookSection</b:SourceType>
    <b:Guid>{0B0AEC9B-D03E-41C2-B97E-73D18431F7F9}</b:Guid>
    <b:Author>
      <b:Author>
        <b:NameList>
          <b:Person>
            <b:Last>Tapié</b:Last>
            <b:First>Michel</b:First>
          </b:Person>
        </b:NameList>
      </b:Author>
      <b:Editor>
        <b:NameList>
          <b:Person>
            <b:Last>Chipp</b:Last>
            <b:First>Herschel</b:First>
          </b:Person>
        </b:NameList>
      </b:Editor>
    </b:Author>
    <b:Title>A New Beyond</b:Title>
    <b:Year>1968</b:Year>
    <b:City>Berkeley</b:City>
    <b:Publisher>U of California P</b:Publisher>
    <b:BookTitle>Theories of Modern Art</b:BookTitle>
    <b:Pages>603-605</b:Pages>
    <b:RefOrder>6</b:RefOrder>
  </b:Source>
  <b:Source>
    <b:Tag>Tap52</b:Tag>
    <b:SourceType>Book</b:SourceType>
    <b:Guid>{D3BF55D5-BEDD-4AA8-BC81-C0C4BEC398C2}</b:Guid>
    <b:Title>The Significant Message of Georges Mathieu</b:Title>
    <b:Year>1952</b:Year>
    <b:City>New York</b:City>
    <b:Publisher>Stable Gallery</b:Publisher>
    <b:Author>
      <b:Author>
        <b:NameList>
          <b:Person>
            <b:Last>Tapié</b:Last>
            <b:First>Michel</b:First>
          </b:Person>
        </b:NameList>
      </b:Author>
    </b:Author>
    <b:RefOrder>7</b:RefOrder>
  </b:Source>
</b:Sources>
</file>

<file path=customXml/itemProps1.xml><?xml version="1.0" encoding="utf-8"?>
<ds:datastoreItem xmlns:ds="http://schemas.openxmlformats.org/officeDocument/2006/customXml" ds:itemID="{0C11E623-8C6B-4E4D-9733-BFD72E578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17</TotalTime>
  <Pages>3</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2014-06-29T20:54:00Z</dcterms:created>
  <dcterms:modified xsi:type="dcterms:W3CDTF">2014-06-29T21:23:00Z</dcterms:modified>
</cp:coreProperties>
</file>