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4B22" w:rsidRDefault="00CC0EB1">
      <w:pPr>
        <w:jc w:val="both"/>
      </w:pPr>
      <w:proofErr w:type="spellStart"/>
      <w:r>
        <w:t>Raphaël</w:t>
      </w:r>
      <w:proofErr w:type="spellEnd"/>
      <w:r>
        <w:t xml:space="preserve"> </w:t>
      </w:r>
      <w:proofErr w:type="spellStart"/>
      <w:r>
        <w:t>Ingelbien</w:t>
      </w:r>
      <w:proofErr w:type="spellEnd"/>
    </w:p>
    <w:p w:rsidR="00DE4B22" w:rsidRDefault="00DE4B22">
      <w:pPr>
        <w:jc w:val="both"/>
      </w:pPr>
    </w:p>
    <w:p w:rsidR="00DE4B22" w:rsidRDefault="00CC0EB1">
      <w:pPr>
        <w:jc w:val="both"/>
      </w:pPr>
      <w:r>
        <w:rPr>
          <w:b/>
        </w:rPr>
        <w:t>Decadence</w:t>
      </w:r>
    </w:p>
    <w:p w:rsidR="00DE4B22" w:rsidRDefault="00DE4B22">
      <w:pPr>
        <w:jc w:val="both"/>
      </w:pPr>
    </w:p>
    <w:p w:rsidR="00DE4B22" w:rsidRDefault="00CC0EB1">
      <w:pPr>
        <w:jc w:val="both"/>
      </w:pPr>
      <w:r>
        <w:t xml:space="preserve">Decadence was a word used to refer, </w:t>
      </w:r>
      <w:r w:rsidR="00413D4C">
        <w:t>often</w:t>
      </w:r>
      <w:r>
        <w:t xml:space="preserve"> disparagingly, to late-nineteenth-century </w:t>
      </w:r>
      <w:r w:rsidR="00413D4C">
        <w:t xml:space="preserve">European </w:t>
      </w:r>
      <w:r>
        <w:t xml:space="preserve">writers and artists whose </w:t>
      </w:r>
      <w:r w:rsidR="00413D4C">
        <w:t>credo</w:t>
      </w:r>
      <w:r>
        <w:t xml:space="preserve"> of </w:t>
      </w:r>
      <w:r w:rsidR="007166D9">
        <w:t>‘</w:t>
      </w:r>
      <w:r>
        <w:t>art for art’s sake</w:t>
      </w:r>
      <w:r w:rsidR="007166D9">
        <w:t>’</w:t>
      </w:r>
      <w:r>
        <w:t xml:space="preserve"> went hand in hand with an open disdain for morality and for the values of their own societies. Often associated with</w:t>
      </w:r>
      <w:r>
        <w:t xml:space="preserve"> modern French literature and its influence, decadent tendencies were observed in many different countries. In England, its main representatives were Oscar Wilde </w:t>
      </w:r>
      <w:r w:rsidR="00413D4C">
        <w:t xml:space="preserve">(1854-1900) </w:t>
      </w:r>
      <w:r>
        <w:t>and various figures who were inspired by French examples and by the aestheticism of Walter Pat</w:t>
      </w:r>
      <w:r>
        <w:t>er</w:t>
      </w:r>
      <w:r w:rsidR="00413D4C">
        <w:t xml:space="preserve"> (1839-1894)</w:t>
      </w:r>
      <w:r>
        <w:t>. Its main features were a cult of beaut</w:t>
      </w:r>
      <w:r w:rsidR="007166D9">
        <w:t>y, refinement and artificiality;</w:t>
      </w:r>
      <w:r>
        <w:t xml:space="preserve"> a fascination for the paradoxical, the bizar</w:t>
      </w:r>
      <w:r w:rsidR="007166D9">
        <w:t>re, the exotic and the perverse;</w:t>
      </w:r>
      <w:r>
        <w:t xml:space="preserve"> and an iconoclastic attitude towards </w:t>
      </w:r>
      <w:r w:rsidR="007166D9">
        <w:t>dominant</w:t>
      </w:r>
      <w:r>
        <w:t xml:space="preserve"> values. While manifestations of decadence did earn a place </w:t>
      </w:r>
      <w:r>
        <w:t xml:space="preserve">in </w:t>
      </w:r>
      <w:r>
        <w:rPr>
          <w:i/>
        </w:rPr>
        <w:t>fin-de-siècle</w:t>
      </w:r>
      <w:r>
        <w:t xml:space="preserve"> London culture, the phenomenon did not survive the spectacular fall of Oscar Wilde in 1895, but some of its ideas and attitudes point forward to modernism. </w:t>
      </w:r>
    </w:p>
    <w:p w:rsidR="00DE4B22" w:rsidRDefault="00DE4B22">
      <w:pPr>
        <w:jc w:val="both"/>
      </w:pPr>
    </w:p>
    <w:p w:rsidR="00DE4B22" w:rsidRDefault="00CC0EB1">
      <w:pPr>
        <w:jc w:val="both"/>
      </w:pPr>
      <w:r>
        <w:t>The terms ‘decadence’ and ‘decadents’ were first applied to French writers who pr</w:t>
      </w:r>
      <w:r>
        <w:t xml:space="preserve">oclaimed the absolute independence of art from all but purely artistic criteria. Writers like </w:t>
      </w:r>
      <w:proofErr w:type="spellStart"/>
      <w:r>
        <w:t>Théophile</w:t>
      </w:r>
      <w:proofErr w:type="spellEnd"/>
      <w:r>
        <w:t xml:space="preserve"> Gautier</w:t>
      </w:r>
      <w:r w:rsidR="007166D9">
        <w:t xml:space="preserve"> (1811-1872)</w:t>
      </w:r>
      <w:r>
        <w:t xml:space="preserve">, Charles Baudelaire </w:t>
      </w:r>
      <w:r w:rsidR="007166D9">
        <w:t xml:space="preserve">(1821-1857) </w:t>
      </w:r>
      <w:r>
        <w:t>and Gustave Flaubert</w:t>
      </w:r>
      <w:r w:rsidR="00BE7C60">
        <w:t xml:space="preserve"> (1821-1880)</w:t>
      </w:r>
      <w:r>
        <w:t xml:space="preserve"> became notorious for their pursuit of formal perfection at the expense of morality. Their use of scanda</w:t>
      </w:r>
      <w:r>
        <w:t>lous subject matters reinforced a suspicion that the</w:t>
      </w:r>
      <w:r w:rsidR="00BE7C60">
        <w:t xml:space="preserve"> ‘decadents’ were not so much a</w:t>
      </w:r>
      <w:r>
        <w:t xml:space="preserve">moral as immoral artists who wanted to </w:t>
      </w:r>
      <w:proofErr w:type="spellStart"/>
      <w:r>
        <w:rPr>
          <w:i/>
        </w:rPr>
        <w:t>épater</w:t>
      </w:r>
      <w:proofErr w:type="spellEnd"/>
      <w:r>
        <w:rPr>
          <w:i/>
        </w:rPr>
        <w:t xml:space="preserve"> le bourgeois</w:t>
      </w:r>
      <w:r w:rsidR="00BE7C60">
        <w:t xml:space="preserve"> (</w:t>
      </w:r>
      <w:r>
        <w:t>shock the middle classes). The first stirrings of decadence in England were found in the poems and essays o</w:t>
      </w:r>
      <w:r>
        <w:t>f A.C. Swinburne</w:t>
      </w:r>
      <w:r w:rsidR="00BE7C60">
        <w:t xml:space="preserve"> (1837-1909)</w:t>
      </w:r>
      <w:r>
        <w:t xml:space="preserve">, who championed Baudelaire’s work in the 1860s. Decadence later flourished as a new generation of writers and artists also came under the influence </w:t>
      </w:r>
      <w:r w:rsidR="00665E9E">
        <w:t xml:space="preserve">of </w:t>
      </w:r>
      <w:r>
        <w:t>Walter Pater’s aestheticism between the late 1870s and the close of the nineteenth century.</w:t>
      </w:r>
      <w:r>
        <w:t xml:space="preserve"> Figures like the Irish-born Oscar Wilde used Pater’s writings as a guide and devoted their time to an ostentatious pursuit of beauty at the expen</w:t>
      </w:r>
      <w:r w:rsidR="00665E9E">
        <w:t>se of all other considerations.</w:t>
      </w:r>
    </w:p>
    <w:p w:rsidR="00665E9E" w:rsidRDefault="00665E9E">
      <w:pPr>
        <w:jc w:val="both"/>
      </w:pPr>
    </w:p>
    <w:p w:rsidR="00DE4B22" w:rsidRDefault="00CC0EB1">
      <w:pPr>
        <w:jc w:val="both"/>
      </w:pPr>
      <w:r>
        <w:t>While aestheticism and decadence are sometimes used as near synonyms, one can</w:t>
      </w:r>
      <w:r>
        <w:t xml:space="preserve"> draw a distinction between aestheticism as a philosophy and decadence as a practice: when the reclusive Walter Pater died, </w:t>
      </w:r>
      <w:r>
        <w:t>Wilde</w:t>
      </w:r>
      <w:r w:rsidR="00591B6A">
        <w:t xml:space="preserve"> commented ‘</w:t>
      </w:r>
      <w:r>
        <w:t>Was he ever alive</w:t>
      </w:r>
      <w:r w:rsidR="00591B6A">
        <w:t>?’</w:t>
      </w:r>
      <w:r>
        <w:t xml:space="preserve"> Wilde himself was a very visible public figure whose </w:t>
      </w:r>
      <w:proofErr w:type="spellStart"/>
      <w:r>
        <w:t>dandyesque</w:t>
      </w:r>
      <w:proofErr w:type="spellEnd"/>
      <w:r>
        <w:t xml:space="preserve"> poses and witty talk became the</w:t>
      </w:r>
      <w:r>
        <w:t xml:space="preserve"> sensation of London </w:t>
      </w:r>
      <w:r>
        <w:rPr>
          <w:i/>
        </w:rPr>
        <w:t>soirées</w:t>
      </w:r>
      <w:r>
        <w:t>; the fact that his persona is almost better known than his writings illustrates the decadent ambition to turn art into life. Other so-called decadents included various poets associated with the Rhymers’ Club in the 1890s (inclu</w:t>
      </w:r>
      <w:r>
        <w:t>ding Arthur Symons, Lionel Johnson and John Gray). Their associate W.B. Yeats</w:t>
      </w:r>
      <w:r w:rsidR="00591B6A">
        <w:t xml:space="preserve"> later characterized them as a ‘tragic generation’</w:t>
      </w:r>
      <w:r>
        <w:t xml:space="preserve"> owing to their personal failures and early deaths – 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w:t>
      </w:r>
      <w:r>
        <w:t xml:space="preserve">Verlaine. Some of their poems were </w:t>
      </w:r>
      <w:r w:rsidR="00591B6A">
        <w:t>marked by experiments with then-</w:t>
      </w:r>
      <w:r>
        <w:t>unusual subject matters like modern urban life, which were partly inspired by Charles Baudelaire.</w:t>
      </w:r>
    </w:p>
    <w:p w:rsidR="00591B6A" w:rsidRDefault="00591B6A">
      <w:pPr>
        <w:jc w:val="both"/>
      </w:pPr>
    </w:p>
    <w:p w:rsidR="00DE4B22" w:rsidRDefault="00CC0EB1">
      <w:pPr>
        <w:jc w:val="both"/>
      </w:pPr>
      <w:r>
        <w:t>In the visual arts, the American-born James McNeill Whistler’s impressionist experiments wi</w:t>
      </w:r>
      <w:r>
        <w:t>th form were met with the strong disapproval of those who linked realist art, morality</w:t>
      </w:r>
      <w:r w:rsidR="00591B6A">
        <w:t>,</w:t>
      </w:r>
      <w:r>
        <w:t xml:space="preserve"> and social responsibility. The Victorian sage and art critic John Ruski</w:t>
      </w:r>
      <w:r w:rsidR="00591B6A">
        <w:t>n famously accused Whistler of ‘</w:t>
      </w:r>
      <w:r>
        <w:t>flinging a po</w:t>
      </w:r>
      <w:r w:rsidR="00591B6A">
        <w:t>t of paint in the public’s face’</w:t>
      </w:r>
      <w:r>
        <w:t>. The illustrator Aub</w:t>
      </w:r>
      <w:r>
        <w:t>rey Beardsley later caused a similar scandal with his highly stylized, morbid</w:t>
      </w:r>
      <w:r w:rsidR="00591B6A">
        <w:t>,</w:t>
      </w:r>
      <w:r>
        <w:t xml:space="preserve"> and sexually suggestive black-and-white drawings, partly inspired by Japanese woodcuts. Looking at Beardsley’s work, the leader of the </w:t>
      </w:r>
      <w:r>
        <w:t>Arts and Crafts movement William Mor</w:t>
      </w:r>
      <w:r w:rsidR="00591B6A">
        <w:t>ris felt as if ‘</w:t>
      </w:r>
      <w:r>
        <w:t xml:space="preserve">a subtle corruption had invaded a </w:t>
      </w:r>
      <w:r>
        <w:lastRenderedPageBreak/>
        <w:t>pure ideal, as if beauty had lost its soul and, retaining outward fairness,</w:t>
      </w:r>
      <w:r w:rsidR="00591B6A">
        <w:t xml:space="preserve"> seemed yet the more fiendish.’</w:t>
      </w:r>
    </w:p>
    <w:p w:rsidR="00591B6A" w:rsidRDefault="00591B6A">
      <w:pPr>
        <w:jc w:val="both"/>
      </w:pPr>
    </w:p>
    <w:p w:rsidR="00DE4B22" w:rsidRDefault="00CC0EB1">
      <w:pPr>
        <w:jc w:val="both"/>
      </w:pPr>
      <w:r>
        <w:t xml:space="preserve">Oscar Wilde produced something of a decadent manifesto in his preface to </w:t>
      </w:r>
      <w:r>
        <w:rPr>
          <w:i/>
        </w:rPr>
        <w:t>The Picture of Dorian Gra</w:t>
      </w:r>
      <w:r>
        <w:rPr>
          <w:i/>
        </w:rPr>
        <w:t>y</w:t>
      </w:r>
      <w:r>
        <w:t xml:space="preserve"> (1890/91)</w:t>
      </w:r>
      <w:proofErr w:type="gramStart"/>
      <w:r>
        <w:t>,</w:t>
      </w:r>
      <w:proofErr w:type="gramEnd"/>
      <w:r>
        <w:t xml:space="preserve"> a novel </w:t>
      </w:r>
      <w:proofErr w:type="spellStart"/>
      <w:r>
        <w:t>where</w:t>
      </w:r>
      <w:r w:rsidR="00591B6A">
        <w:t>n</w:t>
      </w:r>
      <w:proofErr w:type="spellEnd"/>
      <w:r>
        <w:t xml:space="preserve"> the protagonist enters a Faustian bargain in order to preserve his youthful beauty. If the novel’s ending was rather moralistic by Wilde’s standards, the preface flaunted the </w:t>
      </w:r>
      <w:r w:rsidR="00591B6A">
        <w:t>absolute independence of art: ‘t</w:t>
      </w:r>
      <w:r>
        <w:t xml:space="preserve">here is no such thing </w:t>
      </w:r>
      <w:r>
        <w:t>as a moral or an immoral book. Books are well written,</w:t>
      </w:r>
      <w:r w:rsidR="00591B6A">
        <w:t xml:space="preserve"> or badly written. That is all,’ he wrote, and ‘all art is quite useless.’</w:t>
      </w:r>
      <w:r>
        <w:t xml:space="preserve"> Despite Wilde’s scorn for utilitarian considerations, his promotion of art sometimes had social implications, as when he toured America to pr</w:t>
      </w:r>
      <w:r>
        <w:t>each the gospel of beauty or gave lectures on interior design to wider audiences. Wilde also advocated a form of socialism as the path to truly self-fulfilling individual lives. The success of his comedies, filled with paradoxical dialogues and plots lines</w:t>
      </w:r>
      <w:r>
        <w:t xml:space="preserve"> that blithely ignored conventional morality, further suggests that his decadent wit was not so </w:t>
      </w:r>
      <w:r w:rsidR="00591B6A">
        <w:t xml:space="preserve">very </w:t>
      </w:r>
      <w:r>
        <w:t>shocking to the London theatre-going crowds. The cult of beauty also proved congenial to an emerging form of consumerism that could turn the beautiful into a sa</w:t>
      </w:r>
      <w:r>
        <w:t xml:space="preserve">leable commodity. But both Wilde’s social consciousness and his popularity were eventually overshadowed by his sulphurous reputation. Dorian Gray’s decadent lifestyle, partly modelled on that of the protagonist of the French decadent writer </w:t>
      </w:r>
      <w:proofErr w:type="spellStart"/>
      <w:r>
        <w:t>Joris</w:t>
      </w:r>
      <w:proofErr w:type="spellEnd"/>
      <w:r>
        <w:t>-Karl Huys</w:t>
      </w:r>
      <w:r>
        <w:t xml:space="preserve">mans’ </w:t>
      </w:r>
      <w:r>
        <w:rPr>
          <w:i/>
        </w:rPr>
        <w:t xml:space="preserve">A </w:t>
      </w:r>
      <w:proofErr w:type="spellStart"/>
      <w:r>
        <w:rPr>
          <w:i/>
        </w:rPr>
        <w:t>Rebours</w:t>
      </w:r>
      <w:proofErr w:type="spellEnd"/>
      <w:r>
        <w:rPr>
          <w:i/>
        </w:rPr>
        <w:t xml:space="preserve"> </w:t>
      </w:r>
      <w:r w:rsidR="00591B6A">
        <w:t>[</w:t>
      </w:r>
      <w:r>
        <w:rPr>
          <w:i/>
        </w:rPr>
        <w:t>Against Nature</w:t>
      </w:r>
      <w:r w:rsidR="00591B6A">
        <w:t>],</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 art and all things </w:t>
      </w:r>
      <w:r w:rsidR="00591B6A">
        <w:t>‘</w:t>
      </w:r>
      <w:r>
        <w:t>unnatu</w:t>
      </w:r>
      <w:r>
        <w:t>ral</w:t>
      </w:r>
      <w:r w:rsidR="00591B6A">
        <w:t>’</w:t>
      </w:r>
      <w:r>
        <w:t xml:space="preserve">. In 1895, </w:t>
      </w:r>
      <w:r w:rsidR="00591B6A">
        <w:t>at the end of a highly publicized trial</w:t>
      </w:r>
      <w:r w:rsidR="00591B6A">
        <w:t xml:space="preserve">, </w:t>
      </w:r>
      <w:r>
        <w:t>Oscar Wilde was convicted of homosexual acts and sent to prison for two years</w:t>
      </w:r>
      <w:r>
        <w:t xml:space="preserve">; in the backlash that ensued, decadence and its </w:t>
      </w:r>
      <w:proofErr w:type="spellStart"/>
      <w:r>
        <w:t>aestheticist</w:t>
      </w:r>
      <w:proofErr w:type="spellEnd"/>
      <w:r w:rsidR="00591B6A">
        <w:t xml:space="preserve"> underpinnings became anathema.</w:t>
      </w:r>
    </w:p>
    <w:p w:rsidR="00591B6A" w:rsidRDefault="00591B6A">
      <w:pPr>
        <w:jc w:val="both"/>
      </w:pPr>
    </w:p>
    <w:p w:rsidR="00DE4B22" w:rsidRDefault="00CC0EB1">
      <w:pPr>
        <w:jc w:val="both"/>
      </w:pPr>
      <w:r>
        <w:t>The associates of decadence who</w:t>
      </w:r>
      <w:r>
        <w:t xml:space="preserve">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or the Celtic Twilight, throu</w:t>
      </w:r>
      <w:r>
        <w:t xml:space="preserve">gh Yeats’s involvement in the Irish literary renaissance. Yeats’s own later career went on to bridge chronological gaps between </w:t>
      </w:r>
      <w:r>
        <w:rPr>
          <w:i/>
        </w:rPr>
        <w:t>fin-de-siècle</w:t>
      </w:r>
      <w:r>
        <w:t xml:space="preserve"> decadence and twentieth-century modernism. The </w:t>
      </w:r>
      <w:r w:rsidR="00591B6A">
        <w:t xml:space="preserve">decadent </w:t>
      </w:r>
      <w:r>
        <w:t xml:space="preserve">insistence on the autonomy of art, </w:t>
      </w:r>
      <w:proofErr w:type="gramStart"/>
      <w:r w:rsidR="00591B6A">
        <w:t>its</w:t>
      </w:r>
      <w:proofErr w:type="gramEnd"/>
      <w:r>
        <w:t xml:space="preserve"> flouting of </w:t>
      </w:r>
      <w:r>
        <w:t>middle-c</w:t>
      </w:r>
      <w:r>
        <w:t xml:space="preserve">lass morality, the </w:t>
      </w:r>
      <w:r>
        <w:t>cosmopolitan outlook of leading decadents, their</w:t>
      </w:r>
      <w:r>
        <w:t xml:space="preserve"> experiment</w:t>
      </w:r>
      <w:r w:rsidR="00591B6A">
        <w:t>s</w:t>
      </w:r>
      <w:r>
        <w:t xml:space="preserve"> with pure form and with modern subject matters</w:t>
      </w:r>
      <w:r w:rsidR="00591B6A">
        <w:t xml:space="preserve"> – all </w:t>
      </w:r>
      <w:r>
        <w:t>these features</w:t>
      </w:r>
      <w:r>
        <w:t xml:space="preserve"> recur in modernist aesthetics. If the decadent Wilde was too tainted or too compromised a </w:t>
      </w:r>
      <w:r>
        <w:t>figure for many modernists to acknowledge as a model, he still remains the icon of a movement that paved the way for several aspects of modernist art.</w:t>
      </w:r>
    </w:p>
    <w:p w:rsidR="00DE4B22" w:rsidRDefault="00DE4B22"/>
    <w:p w:rsidR="00DE4B22" w:rsidRDefault="00CC0EB1">
      <w:r w:rsidRPr="00CC0EB1">
        <w:t>References and further reading</w:t>
      </w:r>
    </w:p>
    <w:p w:rsidR="00DE4B22" w:rsidRDefault="00DE4B22"/>
    <w:p w:rsidR="00DE4B22" w:rsidRDefault="00CC0EB1">
      <w:r>
        <w:rPr>
          <w:sz w:val="22"/>
          <w:u w:val="single"/>
        </w:rPr>
        <w:t>Primary texts</w:t>
      </w:r>
    </w:p>
    <w:p w:rsidR="00DE4B22" w:rsidRDefault="00CC0EB1">
      <w:pPr>
        <w:ind w:left="360" w:hanging="359"/>
      </w:pPr>
      <w:proofErr w:type="spellStart"/>
      <w:r>
        <w:rPr>
          <w:sz w:val="22"/>
        </w:rPr>
        <w:t>Beckson</w:t>
      </w:r>
      <w:proofErr w:type="spellEnd"/>
      <w:r>
        <w:rPr>
          <w:sz w:val="22"/>
        </w:rPr>
        <w:t xml:space="preserve">, Karl, ed. (1981) </w:t>
      </w:r>
      <w:r>
        <w:rPr>
          <w:i/>
          <w:sz w:val="22"/>
        </w:rPr>
        <w:t xml:space="preserve">Aesthetes and Decadents of the </w:t>
      </w:r>
      <w:r>
        <w:rPr>
          <w:i/>
          <w:sz w:val="22"/>
        </w:rPr>
        <w:t xml:space="preserve">1890s. </w:t>
      </w:r>
      <w:proofErr w:type="gramStart"/>
      <w:r>
        <w:rPr>
          <w:i/>
          <w:sz w:val="22"/>
        </w:rPr>
        <w:t>An Anthology of British Poetry and Prose</w:t>
      </w:r>
      <w:r>
        <w:rPr>
          <w:sz w:val="22"/>
        </w:rPr>
        <w:t>.</w:t>
      </w:r>
      <w:proofErr w:type="gramEnd"/>
      <w:r>
        <w:rPr>
          <w:sz w:val="22"/>
        </w:rPr>
        <w:t xml:space="preserve"> Chicago: Academy Chicago Publishers.</w:t>
      </w:r>
    </w:p>
    <w:p w:rsidR="00DE4B22" w:rsidRDefault="00CC0EB1">
      <w:pPr>
        <w:ind w:left="360" w:hanging="359"/>
      </w:pPr>
      <w:r>
        <w:rPr>
          <w:sz w:val="22"/>
        </w:rPr>
        <w:t xml:space="preserve">Wilde, Oscar. (2003) </w:t>
      </w:r>
      <w:proofErr w:type="gramStart"/>
      <w:r>
        <w:rPr>
          <w:i/>
          <w:sz w:val="22"/>
        </w:rPr>
        <w:t>The</w:t>
      </w:r>
      <w:proofErr w:type="gramEnd"/>
      <w:r>
        <w:rPr>
          <w:sz w:val="22"/>
        </w:rPr>
        <w:t xml:space="preserve"> </w:t>
      </w:r>
      <w:r>
        <w:rPr>
          <w:i/>
          <w:sz w:val="22"/>
        </w:rPr>
        <w:t>Complete Works of Oscar Wilde</w:t>
      </w:r>
      <w:r>
        <w:rPr>
          <w:sz w:val="22"/>
        </w:rPr>
        <w:t>. London: Collins.</w:t>
      </w:r>
    </w:p>
    <w:p w:rsidR="00DE4B22" w:rsidRDefault="00DE4B22"/>
    <w:p w:rsidR="00DE4B22" w:rsidRDefault="00CC0EB1">
      <w:r>
        <w:rPr>
          <w:sz w:val="22"/>
          <w:u w:val="single"/>
        </w:rPr>
        <w:t>Works on decadence</w:t>
      </w:r>
    </w:p>
    <w:p w:rsidR="00DE4B22" w:rsidRDefault="00CC0EB1">
      <w:pPr>
        <w:ind w:left="360" w:hanging="359"/>
      </w:pPr>
      <w:bookmarkStart w:id="0" w:name="h.gjdgxs" w:colFirst="0" w:colLast="0"/>
      <w:bookmarkEnd w:id="0"/>
      <w:r>
        <w:rPr>
          <w:sz w:val="22"/>
        </w:rPr>
        <w:t xml:space="preserve">Bernheimer, Charles. (2002) </w:t>
      </w:r>
      <w:r>
        <w:rPr>
          <w:i/>
          <w:sz w:val="22"/>
        </w:rPr>
        <w:t xml:space="preserve">Decadent Subjects: The Idea of Decadence in Art, </w:t>
      </w:r>
      <w:r>
        <w:rPr>
          <w:i/>
          <w:sz w:val="22"/>
        </w:rPr>
        <w:t>Literature, Philosophy, and Culture of the Fin-de-Siècle in Europe</w:t>
      </w:r>
      <w:r>
        <w:rPr>
          <w:sz w:val="22"/>
        </w:rPr>
        <w:t>,</w:t>
      </w:r>
      <w:r>
        <w:rPr>
          <w:i/>
          <w:sz w:val="22"/>
        </w:rPr>
        <w:t xml:space="preserve"> </w:t>
      </w:r>
      <w:r>
        <w:rPr>
          <w:sz w:val="22"/>
        </w:rPr>
        <w:t>Baltimore: Johns Hopkins University Press.</w:t>
      </w:r>
    </w:p>
    <w:p w:rsidR="00DE4B22" w:rsidRDefault="00CC0EB1">
      <w:pPr>
        <w:ind w:left="360" w:hanging="359"/>
      </w:pPr>
      <w:proofErr w:type="spellStart"/>
      <w:r>
        <w:rPr>
          <w:sz w:val="22"/>
        </w:rPr>
        <w:t>Charlesworth</w:t>
      </w:r>
      <w:proofErr w:type="spellEnd"/>
      <w:r>
        <w:rPr>
          <w:sz w:val="22"/>
        </w:rPr>
        <w:t>,</w:t>
      </w:r>
      <w:r>
        <w:rPr>
          <w:i/>
          <w:sz w:val="22"/>
        </w:rPr>
        <w:t xml:space="preserve"> </w:t>
      </w:r>
      <w:r>
        <w:rPr>
          <w:sz w:val="22"/>
        </w:rPr>
        <w:t xml:space="preserve">Barbara. (1965) </w:t>
      </w:r>
      <w:r>
        <w:rPr>
          <w:i/>
          <w:sz w:val="22"/>
        </w:rPr>
        <w:t>Dark Passages: the Decadent Consciousness in Victorian Literature</w:t>
      </w:r>
      <w:r>
        <w:rPr>
          <w:sz w:val="22"/>
        </w:rPr>
        <w:t>, Madison: University of Wisconsin Press.</w:t>
      </w:r>
    </w:p>
    <w:p w:rsidR="00DE4B22" w:rsidRDefault="00CC0EB1">
      <w:pPr>
        <w:ind w:left="360" w:hanging="359"/>
      </w:pPr>
      <w:proofErr w:type="spellStart"/>
      <w:r>
        <w:rPr>
          <w:sz w:val="22"/>
        </w:rPr>
        <w:lastRenderedPageBreak/>
        <w:t>Denisoff</w:t>
      </w:r>
      <w:proofErr w:type="spellEnd"/>
      <w:r>
        <w:rPr>
          <w:sz w:val="22"/>
        </w:rPr>
        <w:t xml:space="preserve">, Dennis. (2007) ‘Decadence and Aestheticism’ in </w:t>
      </w:r>
      <w:r>
        <w:rPr>
          <w:i/>
          <w:sz w:val="22"/>
        </w:rPr>
        <w:t>The Cambridge Companion to the Fin de Siècle</w:t>
      </w:r>
      <w:r>
        <w:rPr>
          <w:sz w:val="22"/>
        </w:rPr>
        <w:t>, ed. Gail Marshall, Cambridge, Cambridge University Press, pp. 31–52.</w:t>
      </w:r>
    </w:p>
    <w:p w:rsidR="00DE4B22" w:rsidRDefault="00CC0EB1">
      <w:pPr>
        <w:ind w:left="360" w:hanging="359"/>
      </w:pPr>
      <w:proofErr w:type="spellStart"/>
      <w:r>
        <w:rPr>
          <w:sz w:val="22"/>
        </w:rPr>
        <w:t>Gagnier</w:t>
      </w:r>
      <w:proofErr w:type="spellEnd"/>
      <w:r>
        <w:rPr>
          <w:sz w:val="22"/>
        </w:rPr>
        <w:t xml:space="preserve">, </w:t>
      </w:r>
      <w:proofErr w:type="spellStart"/>
      <w:r>
        <w:rPr>
          <w:sz w:val="22"/>
        </w:rPr>
        <w:t>Regenia</w:t>
      </w:r>
      <w:proofErr w:type="spellEnd"/>
      <w:r>
        <w:rPr>
          <w:sz w:val="22"/>
        </w:rPr>
        <w:t xml:space="preserve">. </w:t>
      </w:r>
      <w:proofErr w:type="gramStart"/>
      <w:r>
        <w:rPr>
          <w:sz w:val="22"/>
        </w:rPr>
        <w:t xml:space="preserve">(1987) </w:t>
      </w:r>
      <w:r>
        <w:rPr>
          <w:i/>
          <w:sz w:val="22"/>
        </w:rPr>
        <w:t>Idylls of the Marketplace.</w:t>
      </w:r>
      <w:proofErr w:type="gramEnd"/>
      <w:r>
        <w:rPr>
          <w:i/>
          <w:sz w:val="22"/>
        </w:rPr>
        <w:t xml:space="preserve"> Oscar Wilde and the Victorian Public</w:t>
      </w:r>
      <w:r>
        <w:rPr>
          <w:sz w:val="22"/>
        </w:rPr>
        <w:t>, St</w:t>
      </w:r>
      <w:r>
        <w:rPr>
          <w:sz w:val="22"/>
        </w:rPr>
        <w:t>anford: Stanford University Press.</w:t>
      </w:r>
    </w:p>
    <w:p w:rsidR="00DE4B22" w:rsidRDefault="00CC0EB1">
      <w:pPr>
        <w:ind w:left="360" w:hanging="359"/>
      </w:pPr>
      <w:proofErr w:type="gramStart"/>
      <w:r>
        <w:rPr>
          <w:sz w:val="22"/>
        </w:rPr>
        <w:t>Gaunt, William.</w:t>
      </w:r>
      <w:proofErr w:type="gramEnd"/>
      <w:r>
        <w:rPr>
          <w:sz w:val="22"/>
        </w:rPr>
        <w:t xml:space="preserve"> (1975) </w:t>
      </w:r>
      <w:r>
        <w:rPr>
          <w:i/>
          <w:sz w:val="22"/>
        </w:rPr>
        <w:t>The Aesthetic Adventure</w:t>
      </w:r>
      <w:r>
        <w:rPr>
          <w:sz w:val="22"/>
        </w:rPr>
        <w:t>, 2</w:t>
      </w:r>
      <w:r>
        <w:rPr>
          <w:sz w:val="22"/>
          <w:vertAlign w:val="superscript"/>
        </w:rPr>
        <w:t>nd</w:t>
      </w:r>
      <w:r>
        <w:rPr>
          <w:sz w:val="22"/>
        </w:rPr>
        <w:t xml:space="preserve"> edition, London: Jonathan Cape. </w:t>
      </w:r>
    </w:p>
    <w:p w:rsidR="00DE4B22" w:rsidRDefault="00CC0EB1">
      <w:pPr>
        <w:ind w:left="360" w:hanging="359"/>
      </w:pPr>
      <w:r>
        <w:rPr>
          <w:sz w:val="22"/>
        </w:rPr>
        <w:t xml:space="preserve">Gilman, Richard. (1979) </w:t>
      </w:r>
      <w:r>
        <w:rPr>
          <w:i/>
          <w:sz w:val="22"/>
        </w:rPr>
        <w:t>Decadence: The Strange Life of an Epithet</w:t>
      </w:r>
      <w:r>
        <w:rPr>
          <w:sz w:val="22"/>
        </w:rPr>
        <w:t>, New York: Farrar, Strauss and Giroux.</w:t>
      </w:r>
    </w:p>
    <w:p w:rsidR="00DE4B22" w:rsidRDefault="00CC0EB1">
      <w:pPr>
        <w:ind w:left="360" w:hanging="359"/>
      </w:pPr>
      <w:proofErr w:type="gramStart"/>
      <w:r>
        <w:rPr>
          <w:sz w:val="22"/>
        </w:rPr>
        <w:t>Ledger, Sally and Scott McCracken, eds.</w:t>
      </w:r>
      <w:r>
        <w:rPr>
          <w:i/>
          <w:sz w:val="22"/>
        </w:rPr>
        <w:t xml:space="preserve"> </w:t>
      </w:r>
      <w:r>
        <w:rPr>
          <w:sz w:val="22"/>
        </w:rPr>
        <w:t xml:space="preserve">(1995) </w:t>
      </w:r>
      <w:r>
        <w:rPr>
          <w:i/>
          <w:sz w:val="22"/>
        </w:rPr>
        <w:t>Cultural Politics at the Fin de Siècle</w:t>
      </w:r>
      <w:r>
        <w:rPr>
          <w:sz w:val="22"/>
        </w:rPr>
        <w:t>, Cambridge: Cambridge University Press.</w:t>
      </w:r>
      <w:proofErr w:type="gramEnd"/>
    </w:p>
    <w:p w:rsidR="00DE4B22" w:rsidRDefault="00CC0EB1">
      <w:pPr>
        <w:ind w:left="360" w:hanging="359"/>
      </w:pPr>
      <w:r>
        <w:rPr>
          <w:sz w:val="22"/>
        </w:rPr>
        <w:t xml:space="preserve">MacLeod, Kirsten. (2006) </w:t>
      </w:r>
      <w:r>
        <w:rPr>
          <w:i/>
          <w:sz w:val="22"/>
        </w:rPr>
        <w:t>Fictions of British Decadence: High Art, Popular Writing, and the Fin de Siècle</w:t>
      </w:r>
      <w:r>
        <w:rPr>
          <w:sz w:val="22"/>
        </w:rPr>
        <w:t>, Basingstoke: Palgrave Ma</w:t>
      </w:r>
      <w:r>
        <w:rPr>
          <w:sz w:val="22"/>
        </w:rPr>
        <w:t xml:space="preserve">cmillan. </w:t>
      </w:r>
    </w:p>
    <w:p w:rsidR="00DE4B22" w:rsidRDefault="00CC0EB1">
      <w:bookmarkStart w:id="1" w:name="h.30j0zll" w:colFirst="0" w:colLast="0"/>
      <w:bookmarkEnd w:id="1"/>
      <w:r>
        <w:rPr>
          <w:sz w:val="22"/>
        </w:rPr>
        <w:t xml:space="preserve">Sturgis, Matthew. (1995) </w:t>
      </w:r>
      <w:r>
        <w:rPr>
          <w:i/>
          <w:sz w:val="22"/>
        </w:rPr>
        <w:t>Passionate Attitudes: English Decadence of the 1890s</w:t>
      </w:r>
      <w:r>
        <w:rPr>
          <w:sz w:val="22"/>
        </w:rPr>
        <w:t>, London: Picador.</w:t>
      </w:r>
    </w:p>
    <w:p w:rsidR="00DE4B22" w:rsidRDefault="00CC0EB1">
      <w:pPr>
        <w:ind w:left="360" w:hanging="359"/>
      </w:pPr>
      <w:r>
        <w:rPr>
          <w:sz w:val="22"/>
        </w:rPr>
        <w:t xml:space="preserve">Weir, David. (1996) </w:t>
      </w:r>
      <w:r>
        <w:rPr>
          <w:i/>
          <w:sz w:val="22"/>
        </w:rPr>
        <w:t>Decadence and the Making of Modernism</w:t>
      </w:r>
      <w:r>
        <w:rPr>
          <w:sz w:val="22"/>
        </w:rPr>
        <w:t>, Amherst: University of Massachusetts Press.</w:t>
      </w:r>
    </w:p>
    <w:p w:rsidR="00DE4B22" w:rsidRDefault="00CC0EB1">
      <w:r>
        <w:br w:type="page"/>
      </w:r>
      <w:bookmarkStart w:id="2" w:name="_GoBack"/>
      <w:bookmarkEnd w:id="2"/>
    </w:p>
    <w:p w:rsidR="00DE4B22" w:rsidRDefault="00DE4B22"/>
    <w:p w:rsidR="00DE4B22" w:rsidRDefault="00CC0EB1">
      <w:r>
        <w:rPr>
          <w:noProof/>
        </w:rPr>
        <w:drawing>
          <wp:inline distT="0" distB="0" distL="114300" distR="114300">
            <wp:extent cx="2496820" cy="3427730"/>
            <wp:effectExtent l="0" t="0" r="0" b="0"/>
            <wp:docPr id="1" name="image03.jpg" descr="oscarwilde.jpg"/>
            <wp:cNvGraphicFramePr/>
            <a:graphic xmlns:a="http://schemas.openxmlformats.org/drawingml/2006/main">
              <a:graphicData uri="http://schemas.openxmlformats.org/drawingml/2006/picture">
                <pic:pic xmlns:pic="http://schemas.openxmlformats.org/drawingml/2006/picture">
                  <pic:nvPicPr>
                    <pic:cNvPr id="0" name="image03.jpg" descr="oscarwilde.jpg"/>
                    <pic:cNvPicPr preferRelativeResize="0"/>
                  </pic:nvPicPr>
                  <pic:blipFill>
                    <a:blip r:embed="rId5"/>
                    <a:srcRect/>
                    <a:stretch>
                      <a:fillRect/>
                    </a:stretch>
                  </pic:blipFill>
                  <pic:spPr>
                    <a:xfrm>
                      <a:off x="0" y="0"/>
                      <a:ext cx="2496820" cy="3427730"/>
                    </a:xfrm>
                    <a:prstGeom prst="rect">
                      <a:avLst/>
                    </a:prstGeom>
                    <a:ln/>
                  </pic:spPr>
                </pic:pic>
              </a:graphicData>
            </a:graphic>
          </wp:inline>
        </w:drawing>
      </w:r>
    </w:p>
    <w:p w:rsidR="00DE4B22" w:rsidRDefault="00CC0EB1">
      <w:r>
        <w:t>Oscar_Wilde</w:t>
      </w:r>
      <w:proofErr w:type="gramStart"/>
      <w:r>
        <w:t>_(</w:t>
      </w:r>
      <w:proofErr w:type="gramEnd"/>
      <w:r>
        <w:t>1854-1900)_in_New_York,_1882._Picture_by_Napoleon_Sarony_(1821-1896)</w:t>
      </w:r>
    </w:p>
    <w:p w:rsidR="00DE4B22" w:rsidRDefault="00CC0EB1">
      <w:hyperlink r:id="rId6">
        <w:r>
          <w:rPr>
            <w:color w:val="0000FF"/>
            <w:u w:val="single"/>
          </w:rPr>
          <w:t>http://iconicphotos.wordpress.com/?s=oscar+wilde</w:t>
        </w:r>
      </w:hyperlink>
      <w:hyperlink r:id="rId7"/>
    </w:p>
    <w:p w:rsidR="00DE4B22" w:rsidRDefault="00CC0EB1">
      <w:r>
        <w:rPr>
          <w:b/>
          <w:u w:val="single"/>
        </w:rPr>
        <w:t>NB:</w:t>
      </w:r>
      <w:r>
        <w:t xml:space="preserve"> </w:t>
      </w:r>
      <w:proofErr w:type="spellStart"/>
      <w:r>
        <w:t>Sarony</w:t>
      </w:r>
      <w:proofErr w:type="spellEnd"/>
      <w:r>
        <w:t xml:space="preserve"> was mad when the Burrow-Giles Lithographic Company had marketed unauthorized lithographs of above photo in 1884. </w:t>
      </w:r>
      <w:proofErr w:type="gramStart"/>
      <w:r>
        <w:t xml:space="preserve">Titled ‘Oscar Wilde No. 18′, it was just one of a series of portrait </w:t>
      </w:r>
      <w:proofErr w:type="spellStart"/>
      <w:r>
        <w:t>Sarony</w:t>
      </w:r>
      <w:proofErr w:type="spellEnd"/>
      <w:r>
        <w:t xml:space="preserve"> took of Wilde two years before.</w:t>
      </w:r>
      <w:proofErr w:type="gramEnd"/>
      <w:r>
        <w:t xml:space="preserve"> </w:t>
      </w:r>
      <w:proofErr w:type="gramStart"/>
      <w:r>
        <w:t>(Inspired and</w:t>
      </w:r>
      <w:r>
        <w:t xml:space="preserve"> not to be outdone by </w:t>
      </w:r>
      <w:proofErr w:type="spellStart"/>
      <w:r>
        <w:t>Sarony’s</w:t>
      </w:r>
      <w:proofErr w:type="spellEnd"/>
      <w:r>
        <w:t xml:space="preserve"> portrait, Wilde tried his hand at portraiture of another sort </w:t>
      </w:r>
      <w:r>
        <w:rPr>
          <w:i/>
        </w:rPr>
        <w:t xml:space="preserve">The Picture of Dorian Grey </w:t>
      </w:r>
      <w:r>
        <w:t>in 1890)</w:t>
      </w:r>
      <w:r>
        <w:rPr>
          <w:i/>
        </w:rPr>
        <w:t>.</w:t>
      </w:r>
      <w:proofErr w:type="gramEnd"/>
      <w:r>
        <w:rPr>
          <w:i/>
        </w:rPr>
        <w:t xml:space="preserve"> </w:t>
      </w:r>
      <w:r>
        <w:t>The constitutionality of the extension of copyright laws to photographs was highly debated; finally, </w:t>
      </w:r>
      <w:r>
        <w:rPr>
          <w:i/>
        </w:rPr>
        <w:t>Burrow-Giles Lithographic</w:t>
      </w:r>
      <w:r>
        <w:rPr>
          <w:i/>
        </w:rPr>
        <w:t xml:space="preserve"> Co. v. </w:t>
      </w:r>
      <w:proofErr w:type="spellStart"/>
      <w:r>
        <w:rPr>
          <w:i/>
        </w:rPr>
        <w:t>Sarony</w:t>
      </w:r>
      <w:proofErr w:type="spellEnd"/>
      <w:r>
        <w:rPr>
          <w:i/>
        </w:rPr>
        <w:t xml:space="preserve"> </w:t>
      </w:r>
      <w:r>
        <w:t>reached all the way to</w:t>
      </w:r>
      <w:r>
        <w:rPr>
          <w:i/>
        </w:rPr>
        <w:t xml:space="preserve"> </w:t>
      </w:r>
      <w:r>
        <w:t>the Supreme Court, which unanimously upheld the power of Congress to extend copyright protection to photography.</w:t>
      </w:r>
    </w:p>
    <w:p w:rsidR="00DE4B22" w:rsidRDefault="00CC0EB1">
      <w:r>
        <w:br w:type="page"/>
      </w:r>
    </w:p>
    <w:p w:rsidR="00DE4B22" w:rsidRDefault="00DE4B22"/>
    <w:p w:rsidR="00DE4B22" w:rsidRDefault="00CC0EB1">
      <w:r>
        <w:rPr>
          <w:noProof/>
        </w:rPr>
        <w:drawing>
          <wp:inline distT="0" distB="0" distL="114300" distR="114300">
            <wp:extent cx="2957830" cy="3183890"/>
            <wp:effectExtent l="0" t="0" r="0" b="0"/>
            <wp:docPr id="2" name="image00.jpg" descr="beerbohm1.jpg"/>
            <wp:cNvGraphicFramePr/>
            <a:graphic xmlns:a="http://schemas.openxmlformats.org/drawingml/2006/main">
              <a:graphicData uri="http://schemas.openxmlformats.org/drawingml/2006/picture">
                <pic:pic xmlns:pic="http://schemas.openxmlformats.org/drawingml/2006/picture">
                  <pic:nvPicPr>
                    <pic:cNvPr id="0" name="image00.jpg" descr="beerbohm1.jpg"/>
                    <pic:cNvPicPr preferRelativeResize="0"/>
                  </pic:nvPicPr>
                  <pic:blipFill>
                    <a:blip r:embed="rId8"/>
                    <a:srcRect/>
                    <a:stretch>
                      <a:fillRect/>
                    </a:stretch>
                  </pic:blipFill>
                  <pic:spPr>
                    <a:xfrm>
                      <a:off x="0" y="0"/>
                      <a:ext cx="2957830" cy="3183890"/>
                    </a:xfrm>
                    <a:prstGeom prst="rect">
                      <a:avLst/>
                    </a:prstGeom>
                    <a:ln/>
                  </pic:spPr>
                </pic:pic>
              </a:graphicData>
            </a:graphic>
          </wp:inline>
        </w:drawing>
      </w:r>
    </w:p>
    <w:p w:rsidR="00DE4B22" w:rsidRDefault="00DE4B22"/>
    <w:p w:rsidR="00DE4B22" w:rsidRDefault="00CC0EB1">
      <w:r>
        <w:t>Beerbohm, Max. ‘The Name of Dante Gabriel Rossetti is heard for the first time in the United States</w:t>
      </w:r>
      <w:r>
        <w:t xml:space="preserve"> of America. Time: 1881. Lecturer: Mr. Oscar Wilde.’ (1922)</w:t>
      </w:r>
    </w:p>
    <w:p w:rsidR="00DE4B22" w:rsidRDefault="00CC0EB1">
      <w:r>
        <w:t xml:space="preserve">Beerbohm, Max. </w:t>
      </w:r>
      <w:proofErr w:type="gramStart"/>
      <w:r>
        <w:rPr>
          <w:i/>
        </w:rPr>
        <w:t>Rossetti and His Circle</w:t>
      </w:r>
      <w:r>
        <w:t>.</w:t>
      </w:r>
      <w:proofErr w:type="gramEnd"/>
      <w:r>
        <w:t xml:space="preserve"> London: William Heinemann, 1922.</w:t>
      </w:r>
    </w:p>
    <w:p w:rsidR="00DE4B22" w:rsidRDefault="00CC0EB1">
      <w:r>
        <w:t>Plate 22</w:t>
      </w:r>
    </w:p>
    <w:p w:rsidR="00DE4B22" w:rsidRDefault="00CC0EB1">
      <w:r>
        <w:t>6 1/2 x 4 1/4 inches</w:t>
      </w:r>
    </w:p>
    <w:p w:rsidR="00DE4B22" w:rsidRDefault="00CC0EB1">
      <w:r>
        <w:t xml:space="preserve">Found on </w:t>
      </w:r>
      <w:proofErr w:type="gramStart"/>
      <w:r>
        <w:t>The</w:t>
      </w:r>
      <w:proofErr w:type="gramEnd"/>
      <w:r>
        <w:t xml:space="preserve"> Victorian Web </w:t>
      </w:r>
      <w:hyperlink r:id="rId9">
        <w:r>
          <w:rPr>
            <w:color w:val="0000FF"/>
            <w:u w:val="single"/>
          </w:rPr>
          <w:t>http://www.victorianweb.org/authors/mb/dgrcircle22.html</w:t>
        </w:r>
      </w:hyperlink>
      <w:r>
        <w:t xml:space="preserve">  [“This image may be used without prior permission for any scholarly or educational purpose.”]</w:t>
      </w:r>
    </w:p>
    <w:p w:rsidR="00DE4B22" w:rsidRDefault="00DE4B22"/>
    <w:p w:rsidR="00DE4B22" w:rsidRDefault="00CC0EB1">
      <w:r>
        <w:br w:type="page"/>
      </w:r>
    </w:p>
    <w:p w:rsidR="00DE4B22" w:rsidRDefault="00DE4B22"/>
    <w:p w:rsidR="00DE4B22" w:rsidRDefault="00CC0EB1">
      <w:r>
        <w:rPr>
          <w:noProof/>
        </w:rPr>
        <w:drawing>
          <wp:inline distT="0" distB="0" distL="114300" distR="114300">
            <wp:extent cx="2980055" cy="4136390"/>
            <wp:effectExtent l="0" t="0" r="0" b="0"/>
            <wp:docPr id="3" name="image02.jpg" descr="The Peacock Skirt"/>
            <wp:cNvGraphicFramePr/>
            <a:graphic xmlns:a="http://schemas.openxmlformats.org/drawingml/2006/main">
              <a:graphicData uri="http://schemas.openxmlformats.org/drawingml/2006/picture">
                <pic:pic xmlns:pic="http://schemas.openxmlformats.org/drawingml/2006/picture">
                  <pic:nvPicPr>
                    <pic:cNvPr id="0" name="image02.jpg" descr="The Peacock Skirt"/>
                    <pic:cNvPicPr preferRelativeResize="0"/>
                  </pic:nvPicPr>
                  <pic:blipFill>
                    <a:blip r:embed="rId10"/>
                    <a:srcRect/>
                    <a:stretch>
                      <a:fillRect/>
                    </a:stretch>
                  </pic:blipFill>
                  <pic:spPr>
                    <a:xfrm>
                      <a:off x="0" y="0"/>
                      <a:ext cx="2980055" cy="4136390"/>
                    </a:xfrm>
                    <a:prstGeom prst="rect">
                      <a:avLst/>
                    </a:prstGeom>
                    <a:ln/>
                  </pic:spPr>
                </pic:pic>
              </a:graphicData>
            </a:graphic>
          </wp:inline>
        </w:drawing>
      </w:r>
    </w:p>
    <w:p w:rsidR="00DE4B22" w:rsidRDefault="00CC0EB1">
      <w:pPr>
        <w:spacing w:before="100" w:after="100"/>
      </w:pPr>
      <w:r>
        <w:t xml:space="preserve">Aubrey Beardsley, ‘The Peacock Skirt’ (1894) (illustration for Oscar Wilde’s </w:t>
      </w:r>
      <w:r>
        <w:rPr>
          <w:i/>
        </w:rPr>
        <w:t>Salome</w:t>
      </w:r>
      <w:r>
        <w:t>)</w:t>
      </w:r>
    </w:p>
    <w:p w:rsidR="00DE4B22" w:rsidRDefault="00CC0EB1">
      <w:hyperlink r:id="rId11">
        <w:r>
          <w:rPr>
            <w:color w:val="0000FF"/>
            <w:u w:val="single"/>
          </w:rPr>
          <w:t>http://www.victorianweb.org/art/illustration/beardsley/3.html</w:t>
        </w:r>
      </w:hyperlink>
      <w:r>
        <w:t xml:space="preserve"> </w:t>
      </w:r>
    </w:p>
    <w:p w:rsidR="00DE4B22" w:rsidRDefault="00DE4B22"/>
    <w:p w:rsidR="00DE4B22" w:rsidRDefault="00CC0EB1">
      <w:r>
        <w:rPr>
          <w:noProof/>
        </w:rPr>
        <w:lastRenderedPageBreak/>
        <w:drawing>
          <wp:inline distT="0" distB="0" distL="114300" distR="114300">
            <wp:extent cx="2938780" cy="4055745"/>
            <wp:effectExtent l="0" t="0" r="0" b="0"/>
            <wp:docPr id="4" name="image04.jpg" descr="The Toilette of Salome"/>
            <wp:cNvGraphicFramePr/>
            <a:graphic xmlns:a="http://schemas.openxmlformats.org/drawingml/2006/main">
              <a:graphicData uri="http://schemas.openxmlformats.org/drawingml/2006/picture">
                <pic:pic xmlns:pic="http://schemas.openxmlformats.org/drawingml/2006/picture">
                  <pic:nvPicPr>
                    <pic:cNvPr id="0" name="image04.jpg" descr="The Toilette of Salome"/>
                    <pic:cNvPicPr preferRelativeResize="0"/>
                  </pic:nvPicPr>
                  <pic:blipFill>
                    <a:blip r:embed="rId12"/>
                    <a:srcRect/>
                    <a:stretch>
                      <a:fillRect/>
                    </a:stretch>
                  </pic:blipFill>
                  <pic:spPr>
                    <a:xfrm>
                      <a:off x="0" y="0"/>
                      <a:ext cx="2938780" cy="4055745"/>
                    </a:xfrm>
                    <a:prstGeom prst="rect">
                      <a:avLst/>
                    </a:prstGeom>
                    <a:ln/>
                  </pic:spPr>
                </pic:pic>
              </a:graphicData>
            </a:graphic>
          </wp:inline>
        </w:drawing>
      </w:r>
    </w:p>
    <w:p w:rsidR="00DE4B22" w:rsidRDefault="00CC0EB1">
      <w:pPr>
        <w:spacing w:before="100" w:after="100"/>
      </w:pPr>
      <w:r>
        <w:t xml:space="preserve">Aubrey Beardsley, ‘The Toilette of Salome’ (1894) (illustration for Oscar Wilde’s </w:t>
      </w:r>
      <w:r>
        <w:rPr>
          <w:i/>
        </w:rPr>
        <w:t>Salome</w:t>
      </w:r>
      <w:r>
        <w:t>)</w:t>
      </w:r>
    </w:p>
    <w:p w:rsidR="00DE4B22" w:rsidRDefault="00CC0EB1">
      <w:pPr>
        <w:spacing w:before="100" w:after="100"/>
      </w:pPr>
      <w:hyperlink r:id="rId13">
        <w:r>
          <w:rPr>
            <w:color w:val="0000FF"/>
            <w:u w:val="single"/>
          </w:rPr>
          <w:t>http://www.victorianweb.org/art/illustration/beardsley/10.html</w:t>
        </w:r>
      </w:hyperlink>
      <w:r>
        <w:t xml:space="preserve"> </w:t>
      </w:r>
    </w:p>
    <w:p w:rsidR="00DE4B22" w:rsidRDefault="00CC0EB1">
      <w:r>
        <w:br w:type="page"/>
      </w:r>
    </w:p>
    <w:p w:rsidR="00DE4B22" w:rsidRDefault="00CC0EB1">
      <w:pPr>
        <w:spacing w:before="100" w:after="100"/>
      </w:pPr>
      <w:r>
        <w:rPr>
          <w:noProof/>
        </w:rPr>
        <w:lastRenderedPageBreak/>
        <w:drawing>
          <wp:inline distT="0" distB="0" distL="114300" distR="114300">
            <wp:extent cx="3081655" cy="4229735"/>
            <wp:effectExtent l="0" t="0" r="0" b="0"/>
            <wp:docPr id="5" name="image01.jpg" descr="The Stomach Dance"/>
            <wp:cNvGraphicFramePr/>
            <a:graphic xmlns:a="http://schemas.openxmlformats.org/drawingml/2006/main">
              <a:graphicData uri="http://schemas.openxmlformats.org/drawingml/2006/picture">
                <pic:pic xmlns:pic="http://schemas.openxmlformats.org/drawingml/2006/picture">
                  <pic:nvPicPr>
                    <pic:cNvPr id="0" name="image01.jpg" descr="The Stomach Dance"/>
                    <pic:cNvPicPr preferRelativeResize="0"/>
                  </pic:nvPicPr>
                  <pic:blipFill>
                    <a:blip r:embed="rId14"/>
                    <a:srcRect/>
                    <a:stretch>
                      <a:fillRect/>
                    </a:stretch>
                  </pic:blipFill>
                  <pic:spPr>
                    <a:xfrm>
                      <a:off x="0" y="0"/>
                      <a:ext cx="3081655" cy="4229735"/>
                    </a:xfrm>
                    <a:prstGeom prst="rect">
                      <a:avLst/>
                    </a:prstGeom>
                    <a:ln/>
                  </pic:spPr>
                </pic:pic>
              </a:graphicData>
            </a:graphic>
          </wp:inline>
        </w:drawing>
      </w:r>
    </w:p>
    <w:p w:rsidR="00DE4B22" w:rsidRDefault="00CC0EB1">
      <w:pPr>
        <w:spacing w:before="100" w:after="100"/>
      </w:pPr>
      <w:r>
        <w:t xml:space="preserve">Aubrey Beardsley, ‘The Stomach Dance’ (1894) (illustration for Oscar Wilde’s </w:t>
      </w:r>
      <w:r>
        <w:rPr>
          <w:i/>
        </w:rPr>
        <w:t>Salome</w:t>
      </w:r>
      <w:r>
        <w:t>)</w:t>
      </w:r>
    </w:p>
    <w:p w:rsidR="00DE4B22" w:rsidRDefault="00CC0EB1">
      <w:pPr>
        <w:spacing w:before="100" w:after="100"/>
      </w:pPr>
      <w:hyperlink r:id="rId15">
        <w:r>
          <w:rPr>
            <w:color w:val="0000FF"/>
            <w:u w:val="single"/>
          </w:rPr>
          <w:t>http://www.victorianweb.org/art/illustration/beardsley/8.html</w:t>
        </w:r>
      </w:hyperlink>
      <w:r>
        <w:t xml:space="preserve"> </w:t>
      </w:r>
    </w:p>
    <w:p w:rsidR="00DE4B22" w:rsidRDefault="00DE4B22">
      <w:pPr>
        <w:spacing w:before="100" w:after="100"/>
      </w:pPr>
    </w:p>
    <w:sectPr w:rsidR="00DE4B22">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E4B22"/>
    <w:rsid w:val="00413D4C"/>
    <w:rsid w:val="00591B6A"/>
    <w:rsid w:val="00665E9E"/>
    <w:rsid w:val="007166D9"/>
    <w:rsid w:val="00B801A5"/>
    <w:rsid w:val="00BE7C60"/>
    <w:rsid w:val="00CC0EB1"/>
    <w:rsid w:val="00DE4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C0EB1"/>
    <w:rPr>
      <w:rFonts w:ascii="Tahoma" w:hAnsi="Tahoma" w:cs="Tahoma"/>
      <w:sz w:val="16"/>
      <w:szCs w:val="16"/>
    </w:rPr>
  </w:style>
  <w:style w:type="character" w:customStyle="1" w:styleId="BalloonTextChar">
    <w:name w:val="Balloon Text Char"/>
    <w:basedOn w:val="DefaultParagraphFont"/>
    <w:link w:val="BalloonText"/>
    <w:uiPriority w:val="99"/>
    <w:semiHidden/>
    <w:rsid w:val="00CC0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C0EB1"/>
    <w:rPr>
      <w:rFonts w:ascii="Tahoma" w:hAnsi="Tahoma" w:cs="Tahoma"/>
      <w:sz w:val="16"/>
      <w:szCs w:val="16"/>
    </w:rPr>
  </w:style>
  <w:style w:type="character" w:customStyle="1" w:styleId="BalloonTextChar">
    <w:name w:val="Balloon Text Char"/>
    <w:basedOn w:val="DefaultParagraphFont"/>
    <w:link w:val="BalloonText"/>
    <w:uiPriority w:val="99"/>
    <w:semiHidden/>
    <w:rsid w:val="00CC0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victorianweb.org/art/illustration/beardsley/10.html" TargetMode="External"/><Relationship Id="rId3" Type="http://schemas.openxmlformats.org/officeDocument/2006/relationships/settings" Target="settings.xml"/><Relationship Id="rId7" Type="http://schemas.openxmlformats.org/officeDocument/2006/relationships/hyperlink" Target="http://iconicphotos.wordpress.com/?s=oscar+wilde" TargetMode="External"/><Relationship Id="rId12" Type="http://schemas.openxmlformats.org/officeDocument/2006/relationships/image" Target="media/image4.jp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onicphotos.wordpress.com/?s=oscar+wilde" TargetMode="External"/><Relationship Id="rId11" Type="http://schemas.openxmlformats.org/officeDocument/2006/relationships/hyperlink" Target="http://www.victorianweb.org/art/illustration/beardsley/3.html" TargetMode="External"/><Relationship Id="rId5" Type="http://schemas.openxmlformats.org/officeDocument/2006/relationships/image" Target="media/image1.jpg"/><Relationship Id="rId15" Type="http://schemas.openxmlformats.org/officeDocument/2006/relationships/hyperlink" Target="http://www.victorianweb.org/art/illustration/beardsley/8.html"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victorianweb.org/authors/mb/dgrcircle22.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Decadence_Ingelbien.docx</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Decadence_Ingelbien.docx</dc:title>
  <dc:creator>ADMIN</dc:creator>
  <cp:lastModifiedBy>ADMIN</cp:lastModifiedBy>
  <cp:revision>7</cp:revision>
  <dcterms:created xsi:type="dcterms:W3CDTF">2015-01-16T04:31:00Z</dcterms:created>
  <dcterms:modified xsi:type="dcterms:W3CDTF">2015-01-16T04:52:00Z</dcterms:modified>
</cp:coreProperties>
</file>