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left" w:pos="6840"/>
        </w:tabs>
        <w:contextualSpacing w:val="0"/>
      </w:pPr>
      <w:r w:rsidRPr="00000000" w:rsidR="00000000" w:rsidDel="00000000">
        <w:rPr>
          <w:rtl w:val="0"/>
        </w:rPr>
        <w:t xml:space="preserve">Yaakov Shabtai (3.8.1934, Tel Aviv, Mandatory Palestine—8.4.1981, Tel Aviv, Israel), an Israeli Hebrew author, playwright, lyricist and translator. </w:t>
      </w:r>
      <w:r w:rsidRPr="00000000" w:rsidR="00000000" w:rsidDel="00000000">
        <w:rPr>
          <w:rFonts w:cs="Times New Roman" w:hAnsi="Times New Roman" w:eastAsia="Times New Roman" w:ascii="Times New Roman"/>
          <w:rtl w:val="0"/>
        </w:rPr>
        <w:t xml:space="preserve">Following his military service, Shabtai left Tel Aviv to join a kibbutz, where he began translating plays and writing lyrics and original plays. In 1967, he moved back to Tel Aviv to dedicate himself to writing. In 1972, a collection of his short stories appeared. Both his plays and short fiction received mixed reviews at the time of their original publication. In 1977, Shabtai published his first novel, </w:t>
      </w:r>
      <w:r w:rsidRPr="00000000" w:rsidR="00000000" w:rsidDel="00000000">
        <w:rPr>
          <w:rFonts w:cs="Times New Roman" w:hAnsi="Times New Roman" w:eastAsia="Times New Roman" w:ascii="Times New Roman"/>
          <w:i w:val="1"/>
          <w:rtl w:val="0"/>
        </w:rPr>
        <w:t xml:space="preserve">Zikhron Dvarim</w:t>
      </w:r>
      <w:r w:rsidRPr="00000000" w:rsidR="00000000" w:rsidDel="00000000">
        <w:rPr>
          <w:rFonts w:cs="Times New Roman" w:hAnsi="Times New Roman" w:eastAsia="Times New Roman" w:ascii="Times New Roman"/>
          <w:rtl w:val="0"/>
        </w:rPr>
        <w:t xml:space="preserve"> [translated into English as </w:t>
      </w:r>
      <w:r w:rsidRPr="00000000" w:rsidR="00000000" w:rsidDel="00000000">
        <w:rPr>
          <w:rFonts w:cs="Times New Roman" w:hAnsi="Times New Roman" w:eastAsia="Times New Roman" w:ascii="Times New Roman"/>
          <w:i w:val="1"/>
          <w:rtl w:val="0"/>
        </w:rPr>
        <w:t xml:space="preserve">Past Continuou</w:t>
      </w:r>
      <w:r w:rsidRPr="00000000" w:rsidR="00000000" w:rsidDel="00000000">
        <w:rPr>
          <w:rFonts w:cs="Times New Roman" w:hAnsi="Times New Roman" w:eastAsia="Times New Roman" w:ascii="Times New Roman"/>
          <w:rtl w:val="0"/>
        </w:rPr>
        <w:t xml:space="preserve">s], which was immediately recognized as a unique literary achievement and as one of the most significant works of modern Hebrew literature. Shabtai died in 1981 of heart failure. His second novel, </w:t>
      </w:r>
      <w:r w:rsidRPr="00000000" w:rsidR="00000000" w:rsidDel="00000000">
        <w:rPr>
          <w:rFonts w:cs="Times New Roman" w:hAnsi="Times New Roman" w:eastAsia="Times New Roman" w:ascii="Times New Roman"/>
          <w:i w:val="1"/>
          <w:rtl w:val="0"/>
        </w:rPr>
        <w:t xml:space="preserve">Sof Davar</w:t>
      </w:r>
      <w:r w:rsidRPr="00000000" w:rsidR="00000000" w:rsidDel="00000000">
        <w:rPr>
          <w:rFonts w:cs="Times New Roman" w:hAnsi="Times New Roman" w:eastAsia="Times New Roman" w:ascii="Times New Roman"/>
          <w:rtl w:val="0"/>
        </w:rPr>
        <w:t xml:space="preserve"> [translated as </w:t>
      </w:r>
      <w:r w:rsidRPr="00000000" w:rsidR="00000000" w:rsidDel="00000000">
        <w:rPr>
          <w:rFonts w:cs="Times New Roman" w:hAnsi="Times New Roman" w:eastAsia="Times New Roman" w:ascii="Times New Roman"/>
          <w:i w:val="1"/>
          <w:rtl w:val="0"/>
        </w:rPr>
        <w:t xml:space="preserve">Past Perfect</w:t>
      </w:r>
      <w:r w:rsidRPr="00000000" w:rsidR="00000000" w:rsidDel="00000000">
        <w:rPr>
          <w:rFonts w:cs="Times New Roman" w:hAnsi="Times New Roman" w:eastAsia="Times New Roman" w:ascii="Times New Roman"/>
          <w:rtl w:val="0"/>
        </w:rPr>
        <w:t xml:space="preserve">], edited jointly by his widow, Edna Shabtai, and by the literary critic Dan Miron, was published posthumously in 1984, and likewise won critical acclaims. </w:t>
      </w:r>
    </w:p>
    <w:p w:rsidP="00000000" w:rsidRPr="00000000" w:rsidR="00000000" w:rsidDel="00000000" w:rsidRDefault="00000000">
      <w:pPr>
        <w:tabs>
          <w:tab w:val="left" w:pos="6840"/>
        </w:tabs>
        <w:contextualSpacing w:val="0"/>
      </w:pPr>
      <w:r w:rsidRPr="00000000" w:rsidR="00000000" w:rsidDel="00000000">
        <w:rPr>
          <w:rtl w:val="0"/>
        </w:rPr>
      </w:r>
    </w:p>
    <w:p w:rsidP="00000000" w:rsidRPr="00000000" w:rsidR="00000000" w:rsidDel="00000000" w:rsidRDefault="00000000">
      <w:pPr>
        <w:tabs>
          <w:tab w:val="left" w:pos="6840"/>
        </w:tabs>
        <w:contextualSpacing w:val="0"/>
      </w:pPr>
      <w:r w:rsidRPr="00000000" w:rsidR="00000000" w:rsidDel="00000000">
        <w:rPr>
          <w:rFonts w:cs="Times New Roman" w:hAnsi="Times New Roman" w:eastAsia="Times New Roman" w:ascii="Times New Roman"/>
          <w:rtl w:val="0"/>
        </w:rPr>
        <w:t xml:space="preserve">Shabtai’s prose has clear spatial, temporal and social coordinates. But for few exceptions, it takes place in what is today the cultural center of Tel Aviv, in the 1930s and 1940s, and from the late 1960s through the 1970s, and features characters who emigrate from Eastern Europe to Palestine in the 1920s, form there the working class or the petite bourgeoisie, and share social-Zionist world-view. Shabtai is most noted, however, for the grammar and style of </w:t>
      </w:r>
      <w:r w:rsidRPr="00000000" w:rsidR="00000000" w:rsidDel="00000000">
        <w:rPr>
          <w:rFonts w:cs="Times New Roman" w:hAnsi="Times New Roman" w:eastAsia="Times New Roman" w:ascii="Times New Roman"/>
          <w:i w:val="1"/>
          <w:rtl w:val="0"/>
        </w:rPr>
        <w:t xml:space="preserve">Past Continuous</w:t>
      </w:r>
      <w:r w:rsidRPr="00000000" w:rsidR="00000000" w:rsidDel="00000000">
        <w:rPr>
          <w:rFonts w:cs="Times New Roman" w:hAnsi="Times New Roman" w:eastAsia="Times New Roman" w:ascii="Times New Roman"/>
          <w:rtl w:val="0"/>
        </w:rPr>
        <w:t xml:space="preserve">, which is partly reproduced in </w:t>
      </w:r>
      <w:r w:rsidRPr="00000000" w:rsidR="00000000" w:rsidDel="00000000">
        <w:rPr>
          <w:rFonts w:cs="Times New Roman" w:hAnsi="Times New Roman" w:eastAsia="Times New Roman" w:ascii="Times New Roman"/>
          <w:i w:val="1"/>
          <w:rtl w:val="0"/>
        </w:rPr>
        <w:t xml:space="preserve">Past Perfect</w:t>
      </w:r>
      <w:r w:rsidRPr="00000000" w:rsidR="00000000" w:rsidDel="00000000">
        <w:rPr>
          <w:rFonts w:cs="Times New Roman" w:hAnsi="Times New Roman" w:eastAsia="Times New Roman" w:ascii="Times New Roman"/>
          <w:rtl w:val="0"/>
        </w:rPr>
        <w:t xml:space="preserve">. The earlier novel is made up of a single paragraph, with extraordinarily long sentences, many of which span over two pages or more. Simultaneously, the novel remains realist in style. Shabtai’s novels are also noted for their success in integrating spoken Hebrew—both its vocabulary and grammar— into their literary language. </w:t>
      </w:r>
    </w:p>
    <w:p w:rsidP="00000000" w:rsidRPr="00000000" w:rsidR="00000000" w:rsidDel="00000000" w:rsidRDefault="00000000">
      <w:pPr>
        <w:tabs>
          <w:tab w:val="left" w:pos="6840"/>
        </w:tabs>
        <w:contextualSpacing w:val="0"/>
      </w:pPr>
      <w:r w:rsidRPr="00000000" w:rsidR="00000000" w:rsidDel="00000000">
        <w:rPr>
          <w:rtl w:val="0"/>
        </w:rPr>
      </w:r>
    </w:p>
    <w:p w:rsidP="00000000" w:rsidRPr="00000000" w:rsidR="00000000" w:rsidDel="00000000" w:rsidRDefault="00000000">
      <w:pPr>
        <w:contextualSpacing w:val="0"/>
      </w:pPr>
      <w:bookmarkStart w:id="0" w:colFirst="0" w:name="h.gjdgxs" w:colLast="0"/>
      <w:bookmarkEnd w:id="0"/>
      <w:r w:rsidRPr="00000000" w:rsidR="00000000" w:rsidDel="00000000">
        <w:rPr>
          <w:rFonts w:cs="Times New Roman" w:hAnsi="Times New Roman" w:eastAsia="Times New Roman" w:ascii="Times New Roman"/>
          <w:rtl w:val="0"/>
        </w:rPr>
        <w:t xml:space="preserve">Whereas the experimental grammar of </w:t>
      </w:r>
      <w:r w:rsidRPr="00000000" w:rsidR="00000000" w:rsidDel="00000000">
        <w:rPr>
          <w:rFonts w:cs="Times New Roman" w:hAnsi="Times New Roman" w:eastAsia="Times New Roman" w:ascii="Times New Roman"/>
          <w:i w:val="1"/>
          <w:rtl w:val="0"/>
        </w:rPr>
        <w:t xml:space="preserve">Past Continuous</w:t>
      </w:r>
      <w:r w:rsidRPr="00000000" w:rsidR="00000000" w:rsidDel="00000000">
        <w:rPr>
          <w:rFonts w:cs="Times New Roman" w:hAnsi="Times New Roman" w:eastAsia="Times New Roman" w:ascii="Times New Roman"/>
          <w:rtl w:val="0"/>
        </w:rPr>
        <w:t xml:space="preserve"> remains </w:t>
      </w:r>
      <w:r w:rsidRPr="00000000" w:rsidR="00000000" w:rsidDel="00000000">
        <w:rPr>
          <w:rFonts w:cs="Times New Roman" w:hAnsi="Times New Roman" w:eastAsia="Times New Roman" w:ascii="Times New Roman"/>
          <w:i w:val="1"/>
          <w:rtl w:val="0"/>
        </w:rPr>
        <w:t xml:space="preserve">sui generis</w:t>
      </w:r>
      <w:r w:rsidRPr="00000000" w:rsidR="00000000" w:rsidDel="00000000">
        <w:rPr>
          <w:rFonts w:cs="Times New Roman" w:hAnsi="Times New Roman" w:eastAsia="Times New Roman" w:ascii="Times New Roman"/>
          <w:rtl w:val="0"/>
        </w:rPr>
        <w:t xml:space="preserve"> in Hebrew fiction, the style and language of Shabtai’s novels played a crucial role in the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Shabtai, Ya'akov_Ginsburg.docx</dc:title>
</cp:coreProperties>
</file>