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59E429" w14:textId="77777777" w:rsidR="007C6D12" w:rsidRDefault="007C6D12" w:rsidP="00C45161">
      <w:pPr>
        <w:rPr>
          <w:b/>
          <w:sz w:val="24"/>
        </w:rPr>
      </w:pPr>
    </w:p>
    <w:p w14:paraId="6D92D069" w14:textId="77777777" w:rsidR="00AF79A7" w:rsidRDefault="00CA500E" w:rsidP="00C45161">
      <w:pPr>
        <w:rPr>
          <w:sz w:val="24"/>
        </w:rPr>
      </w:pPr>
      <w:r>
        <w:rPr>
          <w:b/>
          <w:sz w:val="24"/>
        </w:rPr>
        <w:t xml:space="preserve">CALIGARI, Cabinet of Doctor </w:t>
      </w:r>
      <w:r w:rsidR="00416758" w:rsidRPr="00AB1608">
        <w:rPr>
          <w:b/>
          <w:sz w:val="24"/>
        </w:rPr>
        <w:t>(1922)</w:t>
      </w:r>
      <w:r w:rsidR="00416758" w:rsidRPr="00AB1608">
        <w:rPr>
          <w:sz w:val="24"/>
        </w:rPr>
        <w:t xml:space="preserve"> </w:t>
      </w:r>
    </w:p>
    <w:p w14:paraId="34522BFB" w14:textId="436D1FC8" w:rsidR="00C47441" w:rsidRDefault="0038070C" w:rsidP="00C45161">
      <w:pPr>
        <w:rPr>
          <w:rStyle w:val="apple-converted-space"/>
          <w:color w:val="000000"/>
          <w:sz w:val="24"/>
        </w:rPr>
      </w:pPr>
      <w:r w:rsidRPr="00DC3314">
        <w:rPr>
          <w:i/>
          <w:sz w:val="24"/>
        </w:rPr>
        <w:t xml:space="preserve">Das Cabinet des Dr. </w:t>
      </w:r>
      <w:proofErr w:type="spellStart"/>
      <w:r w:rsidRPr="00DC3314">
        <w:rPr>
          <w:i/>
          <w:sz w:val="24"/>
        </w:rPr>
        <w:t>Caligari</w:t>
      </w:r>
      <w:proofErr w:type="spellEnd"/>
      <w:r>
        <w:rPr>
          <w:sz w:val="24"/>
        </w:rPr>
        <w:t xml:space="preserve"> </w:t>
      </w:r>
      <w:r w:rsidR="00DC3314">
        <w:rPr>
          <w:sz w:val="24"/>
        </w:rPr>
        <w:t>[</w:t>
      </w:r>
      <w:r w:rsidR="00AF79A7" w:rsidRPr="00AF79A7">
        <w:rPr>
          <w:i/>
          <w:sz w:val="24"/>
        </w:rPr>
        <w:t xml:space="preserve">Cabinet of Doctor </w:t>
      </w:r>
      <w:proofErr w:type="spellStart"/>
      <w:r w:rsidR="00AF79A7" w:rsidRPr="00AF79A7">
        <w:rPr>
          <w:i/>
          <w:sz w:val="24"/>
        </w:rPr>
        <w:t>Caligari</w:t>
      </w:r>
      <w:proofErr w:type="spellEnd"/>
      <w:r w:rsidR="00DC3314">
        <w:rPr>
          <w:sz w:val="28"/>
        </w:rPr>
        <w:t>, 1922]</w:t>
      </w:r>
      <w:r w:rsidR="004B02BE">
        <w:rPr>
          <w:sz w:val="28"/>
        </w:rPr>
        <w:t xml:space="preserve"> </w:t>
      </w:r>
      <w:r w:rsidR="00416758" w:rsidRPr="00AB1608">
        <w:rPr>
          <w:sz w:val="24"/>
        </w:rPr>
        <w:t xml:space="preserve">is a silent German Expressionist film made by Robert </w:t>
      </w:r>
      <w:proofErr w:type="spellStart"/>
      <w:r w:rsidR="00416758" w:rsidRPr="00AB1608">
        <w:rPr>
          <w:sz w:val="24"/>
        </w:rPr>
        <w:t>Wiene</w:t>
      </w:r>
      <w:proofErr w:type="spellEnd"/>
      <w:r w:rsidR="00455F7D">
        <w:rPr>
          <w:sz w:val="24"/>
        </w:rPr>
        <w:t>,</w:t>
      </w:r>
      <w:r w:rsidR="00416758" w:rsidRPr="00AB1608">
        <w:rPr>
          <w:sz w:val="24"/>
        </w:rPr>
        <w:t xml:space="preserve"> and </w:t>
      </w:r>
      <w:r w:rsidR="00051AE9">
        <w:rPr>
          <w:sz w:val="24"/>
        </w:rPr>
        <w:t xml:space="preserve">is </w:t>
      </w:r>
      <w:r w:rsidR="00416758" w:rsidRPr="00AB1608">
        <w:rPr>
          <w:sz w:val="24"/>
        </w:rPr>
        <w:t>considered among the most influential films in the history of cinema.</w:t>
      </w:r>
      <w:r w:rsidR="00224989">
        <w:rPr>
          <w:sz w:val="24"/>
        </w:rPr>
        <w:t xml:space="preserve"> The film was o</w:t>
      </w:r>
      <w:r w:rsidR="00303835" w:rsidRPr="00AB1608">
        <w:rPr>
          <w:sz w:val="24"/>
        </w:rPr>
        <w:t>riginally con</w:t>
      </w:r>
      <w:r w:rsidR="00E94B10" w:rsidRPr="00AB1608">
        <w:rPr>
          <w:sz w:val="24"/>
        </w:rPr>
        <w:t xml:space="preserve">ceived out of </w:t>
      </w:r>
      <w:r w:rsidR="00947FE1">
        <w:rPr>
          <w:sz w:val="24"/>
        </w:rPr>
        <w:t xml:space="preserve">an </w:t>
      </w:r>
      <w:r w:rsidR="00E94B10" w:rsidRPr="00AB1608">
        <w:rPr>
          <w:sz w:val="24"/>
        </w:rPr>
        <w:t>anti-Fascist</w:t>
      </w:r>
      <w:r w:rsidR="00303835" w:rsidRPr="00AB1608">
        <w:rPr>
          <w:sz w:val="24"/>
        </w:rPr>
        <w:t xml:space="preserve"> screenplay by Hans Janowitz and Carl Mayer</w:t>
      </w:r>
      <w:r w:rsidR="00224989">
        <w:rPr>
          <w:sz w:val="24"/>
        </w:rPr>
        <w:t>,</w:t>
      </w:r>
      <w:r w:rsidR="00303835" w:rsidRPr="00AB1608">
        <w:rPr>
          <w:sz w:val="24"/>
        </w:rPr>
        <w:t xml:space="preserve"> and </w:t>
      </w:r>
      <w:r w:rsidR="00224989">
        <w:rPr>
          <w:sz w:val="24"/>
        </w:rPr>
        <w:t xml:space="preserve">was </w:t>
      </w:r>
      <w:r w:rsidR="00303835" w:rsidRPr="00AB1608">
        <w:rPr>
          <w:sz w:val="24"/>
        </w:rPr>
        <w:t>directed by Robert Wiene after F</w:t>
      </w:r>
      <w:r w:rsidR="00224989">
        <w:rPr>
          <w:sz w:val="24"/>
        </w:rPr>
        <w:t>ritz Lang turned down the offer.</w:t>
      </w:r>
      <w:r w:rsidR="00303835" w:rsidRPr="00AB1608">
        <w:rPr>
          <w:sz w:val="24"/>
        </w:rPr>
        <w:t xml:space="preserve"> </w:t>
      </w:r>
      <w:r w:rsidR="00303835" w:rsidRPr="007C6D12">
        <w:rPr>
          <w:i/>
          <w:sz w:val="24"/>
        </w:rPr>
        <w:t>Cabinet of Doctor Caligari</w:t>
      </w:r>
      <w:r w:rsidR="00303835" w:rsidRPr="00AB1608">
        <w:rPr>
          <w:sz w:val="24"/>
        </w:rPr>
        <w:t xml:space="preserve"> is a </w:t>
      </w:r>
      <w:r w:rsidR="00947FE1">
        <w:rPr>
          <w:sz w:val="24"/>
        </w:rPr>
        <w:t xml:space="preserve">cinematic </w:t>
      </w:r>
      <w:r w:rsidR="00303835" w:rsidRPr="00AB1608">
        <w:rPr>
          <w:sz w:val="24"/>
        </w:rPr>
        <w:t xml:space="preserve">political text ranking alongside </w:t>
      </w:r>
      <w:r w:rsidR="00224989">
        <w:rPr>
          <w:sz w:val="24"/>
        </w:rPr>
        <w:t>films like</w:t>
      </w:r>
      <w:r w:rsidR="00303835" w:rsidRPr="00AB1608">
        <w:rPr>
          <w:sz w:val="24"/>
        </w:rPr>
        <w:t xml:space="preserve"> Eisenstein’s </w:t>
      </w:r>
      <w:r w:rsidR="00303835" w:rsidRPr="00AB1608">
        <w:rPr>
          <w:i/>
          <w:sz w:val="24"/>
        </w:rPr>
        <w:t>Strike</w:t>
      </w:r>
      <w:r w:rsidR="00303835" w:rsidRPr="00AB1608">
        <w:rPr>
          <w:sz w:val="24"/>
        </w:rPr>
        <w:t xml:space="preserve"> and </w:t>
      </w:r>
      <w:r w:rsidR="00303835" w:rsidRPr="00AB1608">
        <w:rPr>
          <w:i/>
          <w:sz w:val="24"/>
        </w:rPr>
        <w:t>Battleship Potemkin</w:t>
      </w:r>
      <w:r w:rsidR="00455F7D">
        <w:rPr>
          <w:sz w:val="24"/>
        </w:rPr>
        <w:t xml:space="preserve">. </w:t>
      </w:r>
      <w:r w:rsidR="00416758" w:rsidRPr="00AB1608">
        <w:rPr>
          <w:sz w:val="24"/>
        </w:rPr>
        <w:t xml:space="preserve">A stunning visual narrative of necromancy, horror and hypnotism, </w:t>
      </w:r>
      <w:r w:rsidR="00416758" w:rsidRPr="00A27F3C">
        <w:rPr>
          <w:i/>
          <w:sz w:val="24"/>
        </w:rPr>
        <w:t>Caligari</w:t>
      </w:r>
      <w:r w:rsidR="00416758" w:rsidRPr="00AB1608">
        <w:rPr>
          <w:sz w:val="24"/>
        </w:rPr>
        <w:t xml:space="preserve"> revisits an old German myth in </w:t>
      </w:r>
      <w:r w:rsidR="00224989">
        <w:rPr>
          <w:sz w:val="24"/>
        </w:rPr>
        <w:t xml:space="preserve">the </w:t>
      </w:r>
      <w:r w:rsidR="00416758" w:rsidRPr="00AB1608">
        <w:rPr>
          <w:sz w:val="24"/>
        </w:rPr>
        <w:t xml:space="preserve">Nazi Germany of the 1920s. </w:t>
      </w:r>
      <w:r w:rsidR="00303835" w:rsidRPr="00AB1608">
        <w:rPr>
          <w:color w:val="000000"/>
          <w:sz w:val="24"/>
        </w:rPr>
        <w:t xml:space="preserve">Wiene’s film </w:t>
      </w:r>
      <w:r w:rsidR="00416758" w:rsidRPr="00AB1608">
        <w:rPr>
          <w:color w:val="000000"/>
          <w:sz w:val="24"/>
        </w:rPr>
        <w:t xml:space="preserve">was remarkable for </w:t>
      </w:r>
      <w:r w:rsidR="00224989">
        <w:rPr>
          <w:color w:val="000000"/>
          <w:sz w:val="24"/>
        </w:rPr>
        <w:t xml:space="preserve">its architecture of the uncanny, </w:t>
      </w:r>
      <w:r w:rsidR="00416758" w:rsidRPr="00AB1608">
        <w:rPr>
          <w:color w:val="000000"/>
          <w:sz w:val="24"/>
        </w:rPr>
        <w:t xml:space="preserve">structured in </w:t>
      </w:r>
      <w:r w:rsidR="00224989">
        <w:rPr>
          <w:color w:val="000000"/>
          <w:sz w:val="24"/>
        </w:rPr>
        <w:t xml:space="preserve">an </w:t>
      </w:r>
      <w:r w:rsidR="00416758" w:rsidRPr="00AB1608">
        <w:rPr>
          <w:color w:val="000000"/>
          <w:sz w:val="24"/>
        </w:rPr>
        <w:t>Expressionist visual vocabulary</w:t>
      </w:r>
      <w:r w:rsidR="00EC131E">
        <w:rPr>
          <w:color w:val="000000"/>
          <w:sz w:val="24"/>
        </w:rPr>
        <w:t xml:space="preserve"> that attracted the attention of Modernist writers such as Virginia Woolf</w:t>
      </w:r>
      <w:r w:rsidR="00224989">
        <w:rPr>
          <w:color w:val="000000"/>
          <w:sz w:val="24"/>
        </w:rPr>
        <w:t>. W</w:t>
      </w:r>
      <w:r w:rsidR="00416758" w:rsidRPr="00AB1608">
        <w:rPr>
          <w:color w:val="000000"/>
          <w:sz w:val="24"/>
        </w:rPr>
        <w:t>ith its oblique chimneys</w:t>
      </w:r>
      <w:r w:rsidR="00E94B10" w:rsidRPr="00AB1608">
        <w:rPr>
          <w:color w:val="000000"/>
          <w:sz w:val="24"/>
        </w:rPr>
        <w:t>,</w:t>
      </w:r>
      <w:r w:rsidR="00416758" w:rsidRPr="00AB1608">
        <w:rPr>
          <w:color w:val="000000"/>
          <w:sz w:val="24"/>
        </w:rPr>
        <w:t xml:space="preserve"> arrow</w:t>
      </w:r>
      <w:r w:rsidR="00E94B10" w:rsidRPr="00AB1608">
        <w:rPr>
          <w:color w:val="000000"/>
          <w:sz w:val="24"/>
        </w:rPr>
        <w:t xml:space="preserve">-shaped windows, </w:t>
      </w:r>
      <w:r w:rsidR="00416758" w:rsidRPr="00AB1608">
        <w:rPr>
          <w:color w:val="000000"/>
          <w:sz w:val="24"/>
        </w:rPr>
        <w:t>treelike arabesques</w:t>
      </w:r>
      <w:r w:rsidR="00E94B10" w:rsidRPr="00AB1608">
        <w:rPr>
          <w:color w:val="000000"/>
          <w:sz w:val="24"/>
        </w:rPr>
        <w:t xml:space="preserve"> and silhouetted photoplay,</w:t>
      </w:r>
      <w:r w:rsidR="00416758" w:rsidRPr="00AB1608">
        <w:rPr>
          <w:color w:val="000000"/>
          <w:sz w:val="24"/>
        </w:rPr>
        <w:t xml:space="preserve"> </w:t>
      </w:r>
      <w:r w:rsidR="00416758" w:rsidRPr="00AB1608">
        <w:rPr>
          <w:i/>
          <w:iCs/>
          <w:color w:val="000000"/>
          <w:sz w:val="24"/>
        </w:rPr>
        <w:t>Caligari</w:t>
      </w:r>
      <w:r w:rsidR="00416758" w:rsidRPr="00AB1608">
        <w:rPr>
          <w:rStyle w:val="apple-converted-space"/>
          <w:i/>
          <w:iCs/>
          <w:color w:val="000000"/>
          <w:sz w:val="24"/>
        </w:rPr>
        <w:t> </w:t>
      </w:r>
      <w:r w:rsidR="007C6D12">
        <w:rPr>
          <w:color w:val="000000"/>
          <w:sz w:val="24"/>
        </w:rPr>
        <w:t>is considered the classic</w:t>
      </w:r>
      <w:r w:rsidR="00416758" w:rsidRPr="00AB1608">
        <w:rPr>
          <w:color w:val="000000"/>
          <w:sz w:val="24"/>
        </w:rPr>
        <w:t xml:space="preserve"> cinematic construct of </w:t>
      </w:r>
      <w:r w:rsidR="00A27F3C">
        <w:rPr>
          <w:color w:val="000000"/>
          <w:sz w:val="24"/>
        </w:rPr>
        <w:t xml:space="preserve">political as well as mental </w:t>
      </w:r>
      <w:r w:rsidR="00416758" w:rsidRPr="00AB1608">
        <w:rPr>
          <w:color w:val="000000"/>
          <w:sz w:val="24"/>
        </w:rPr>
        <w:t>anarchy</w:t>
      </w:r>
      <w:r w:rsidR="00E94B10" w:rsidRPr="00AB1608">
        <w:rPr>
          <w:color w:val="000000"/>
          <w:sz w:val="24"/>
        </w:rPr>
        <w:t xml:space="preserve">. This theme is symbolically extended </w:t>
      </w:r>
      <w:r w:rsidR="00A27F3C">
        <w:rPr>
          <w:color w:val="000000"/>
          <w:sz w:val="24"/>
        </w:rPr>
        <w:t xml:space="preserve">in the film </w:t>
      </w:r>
      <w:r w:rsidR="00E94B10" w:rsidRPr="00AB1608">
        <w:rPr>
          <w:color w:val="000000"/>
          <w:sz w:val="24"/>
        </w:rPr>
        <w:t>in the</w:t>
      </w:r>
      <w:r w:rsidR="00416758" w:rsidRPr="00AB1608">
        <w:rPr>
          <w:color w:val="000000"/>
          <w:sz w:val="24"/>
        </w:rPr>
        <w:t xml:space="preserve"> never-ending merry-go-rounds and chaotic fairgrounds</w:t>
      </w:r>
      <w:r w:rsidR="00DA2587">
        <w:rPr>
          <w:color w:val="000000"/>
          <w:sz w:val="24"/>
        </w:rPr>
        <w:t xml:space="preserve"> where the undead exist</w:t>
      </w:r>
      <w:r w:rsidR="00E94B10" w:rsidRPr="00AB1608">
        <w:rPr>
          <w:color w:val="000000"/>
          <w:sz w:val="24"/>
        </w:rPr>
        <w:t xml:space="preserve"> with innocent children</w:t>
      </w:r>
      <w:r w:rsidR="00416758" w:rsidRPr="00AB1608">
        <w:rPr>
          <w:color w:val="000000"/>
          <w:sz w:val="24"/>
        </w:rPr>
        <w:t>.</w:t>
      </w:r>
      <w:r w:rsidR="00416758" w:rsidRPr="00AB1608">
        <w:rPr>
          <w:rStyle w:val="apple-converted-space"/>
          <w:color w:val="000000"/>
          <w:sz w:val="24"/>
        </w:rPr>
        <w:t> </w:t>
      </w:r>
      <w:r w:rsidR="00E94B10" w:rsidRPr="00AB1608">
        <w:rPr>
          <w:rStyle w:val="apple-converted-space"/>
          <w:color w:val="000000"/>
          <w:sz w:val="24"/>
        </w:rPr>
        <w:t xml:space="preserve">Logically emerging as a madman’s fantasy in the end, </w:t>
      </w:r>
      <w:r w:rsidR="00E94B10" w:rsidRPr="007C6D12">
        <w:rPr>
          <w:rStyle w:val="apple-converted-space"/>
          <w:i/>
          <w:color w:val="000000"/>
          <w:sz w:val="24"/>
        </w:rPr>
        <w:t>Cabinet of Doctor Caligari</w:t>
      </w:r>
      <w:r w:rsidR="00E94B10" w:rsidRPr="00AB1608">
        <w:rPr>
          <w:rStyle w:val="apple-converted-space"/>
          <w:color w:val="000000"/>
          <w:sz w:val="24"/>
        </w:rPr>
        <w:t xml:space="preserve"> remains a story of ambivalence where the borderlines between political control and terror, medical benevolence and imprisonment, logic and madness are eventually unresolved.  </w:t>
      </w:r>
    </w:p>
    <w:p w14:paraId="4F6DFBF2" w14:textId="77777777" w:rsidR="00AF79A7" w:rsidRDefault="00AF79A7" w:rsidP="00C45161">
      <w:pPr>
        <w:rPr>
          <w:rStyle w:val="apple-converted-space"/>
          <w:color w:val="000000"/>
          <w:sz w:val="24"/>
        </w:rPr>
      </w:pPr>
    </w:p>
    <w:p w14:paraId="496762DB" w14:textId="77777777" w:rsidR="00AF79A7" w:rsidRDefault="00AF79A7" w:rsidP="00C45161">
      <w:pPr>
        <w:rPr>
          <w:rStyle w:val="apple-converted-space"/>
          <w:color w:val="000000"/>
          <w:sz w:val="24"/>
        </w:rPr>
      </w:pPr>
    </w:p>
    <w:p w14:paraId="1E4853A3" w14:textId="77777777" w:rsidR="00AF79A7" w:rsidRDefault="00AF79A7" w:rsidP="00C45161">
      <w:pPr>
        <w:rPr>
          <w:rStyle w:val="apple-converted-space"/>
          <w:color w:val="000000"/>
          <w:sz w:val="24"/>
        </w:rPr>
      </w:pPr>
    </w:p>
    <w:p w14:paraId="57BD5327" w14:textId="77777777" w:rsidR="00AF79A7" w:rsidRDefault="00AF79A7" w:rsidP="00C45161">
      <w:pPr>
        <w:rPr>
          <w:rStyle w:val="apple-converted-space"/>
          <w:color w:val="000000"/>
          <w:sz w:val="24"/>
        </w:rPr>
      </w:pPr>
    </w:p>
    <w:p w14:paraId="152BEF30" w14:textId="77777777" w:rsidR="00AF79A7" w:rsidRDefault="00AF79A7" w:rsidP="00C45161">
      <w:pPr>
        <w:rPr>
          <w:rStyle w:val="apple-converted-space"/>
          <w:color w:val="000000"/>
          <w:sz w:val="24"/>
        </w:rPr>
      </w:pPr>
      <w:bookmarkStart w:id="0" w:name="_GoBack"/>
      <w:bookmarkEnd w:id="0"/>
    </w:p>
    <w:p w14:paraId="5183CD1E" w14:textId="77777777" w:rsidR="00A27F3C" w:rsidRDefault="00A27F3C" w:rsidP="00C45161">
      <w:pPr>
        <w:rPr>
          <w:rStyle w:val="apple-converted-space"/>
          <w:b/>
          <w:color w:val="000000"/>
          <w:sz w:val="24"/>
        </w:rPr>
      </w:pPr>
    </w:p>
    <w:p w14:paraId="4860D915" w14:textId="77777777" w:rsidR="00A27F3C" w:rsidRDefault="00A27F3C" w:rsidP="00C45161">
      <w:pPr>
        <w:rPr>
          <w:rStyle w:val="apple-converted-space"/>
          <w:b/>
          <w:color w:val="000000"/>
          <w:sz w:val="24"/>
        </w:rPr>
      </w:pPr>
    </w:p>
    <w:p w14:paraId="4674C4A8" w14:textId="77777777" w:rsidR="00A27F3C" w:rsidRDefault="00A27F3C" w:rsidP="00C45161">
      <w:pPr>
        <w:rPr>
          <w:rStyle w:val="apple-converted-space"/>
          <w:b/>
          <w:color w:val="000000"/>
          <w:sz w:val="24"/>
        </w:rPr>
      </w:pPr>
    </w:p>
    <w:p w14:paraId="08A94C8F" w14:textId="119F59AE" w:rsidR="00AF79A7" w:rsidRPr="00AF79A7" w:rsidRDefault="00F7619C" w:rsidP="00C45161">
      <w:pPr>
        <w:rPr>
          <w:rStyle w:val="apple-converted-space"/>
          <w:b/>
          <w:color w:val="000000"/>
          <w:sz w:val="24"/>
        </w:rPr>
      </w:pPr>
      <w:r>
        <w:rPr>
          <w:rStyle w:val="apple-converted-space"/>
          <w:b/>
          <w:color w:val="000000"/>
          <w:sz w:val="24"/>
        </w:rPr>
        <w:t xml:space="preserve">References and </w:t>
      </w:r>
      <w:r w:rsidR="00D93347">
        <w:rPr>
          <w:rStyle w:val="apple-converted-space"/>
          <w:b/>
          <w:color w:val="000000"/>
          <w:sz w:val="24"/>
        </w:rPr>
        <w:t>f</w:t>
      </w:r>
      <w:r w:rsidR="00AF79A7" w:rsidRPr="00AF79A7">
        <w:rPr>
          <w:rStyle w:val="apple-converted-space"/>
          <w:b/>
          <w:color w:val="000000"/>
          <w:sz w:val="24"/>
        </w:rPr>
        <w:t xml:space="preserve">urther </w:t>
      </w:r>
      <w:r w:rsidR="00D93347">
        <w:rPr>
          <w:rStyle w:val="apple-converted-space"/>
          <w:b/>
          <w:color w:val="000000"/>
          <w:sz w:val="24"/>
        </w:rPr>
        <w:t>r</w:t>
      </w:r>
      <w:r w:rsidR="00AF79A7" w:rsidRPr="00AF79A7">
        <w:rPr>
          <w:rStyle w:val="apple-converted-space"/>
          <w:b/>
          <w:color w:val="000000"/>
          <w:sz w:val="24"/>
        </w:rPr>
        <w:t>eading:</w:t>
      </w:r>
    </w:p>
    <w:p w14:paraId="61EAB029" w14:textId="77777777" w:rsidR="00AF79A7" w:rsidRDefault="00AF79A7" w:rsidP="00C45161">
      <w:pPr>
        <w:rPr>
          <w:sz w:val="24"/>
        </w:rPr>
      </w:pPr>
    </w:p>
    <w:p w14:paraId="18D3A2D8" w14:textId="0F73515F" w:rsidR="00AF79A7" w:rsidRDefault="00AF79A7" w:rsidP="00C45161">
      <w:pPr>
        <w:rPr>
          <w:color w:val="000000"/>
          <w:sz w:val="24"/>
        </w:rPr>
      </w:pPr>
      <w:r>
        <w:rPr>
          <w:sz w:val="24"/>
        </w:rPr>
        <w:t xml:space="preserve">Eisner, Lotte H. (1969) </w:t>
      </w:r>
      <w:r w:rsidRPr="00AF79A7">
        <w:rPr>
          <w:rStyle w:val="grame"/>
          <w:i/>
          <w:iCs/>
          <w:color w:val="000000"/>
          <w:sz w:val="24"/>
        </w:rPr>
        <w:t>The</w:t>
      </w:r>
      <w:r w:rsidRPr="00AF79A7">
        <w:rPr>
          <w:rStyle w:val="apple-converted-space"/>
          <w:i/>
          <w:iCs/>
          <w:color w:val="000000"/>
          <w:sz w:val="24"/>
        </w:rPr>
        <w:t> </w:t>
      </w:r>
      <w:r w:rsidRPr="00AF79A7">
        <w:rPr>
          <w:i/>
          <w:iCs/>
          <w:color w:val="000000"/>
          <w:sz w:val="24"/>
        </w:rPr>
        <w:t>Haunted Screen: Expressionism in the German Cinema and the Influence of Max Reinhardt</w:t>
      </w:r>
      <w:r>
        <w:rPr>
          <w:rStyle w:val="apple-converted-space"/>
          <w:i/>
          <w:iCs/>
          <w:color w:val="000000"/>
          <w:sz w:val="24"/>
        </w:rPr>
        <w:t xml:space="preserve">. </w:t>
      </w:r>
      <w:r w:rsidRPr="00AF79A7">
        <w:rPr>
          <w:color w:val="000000"/>
          <w:sz w:val="24"/>
        </w:rPr>
        <w:t xml:space="preserve">London: Thames and </w:t>
      </w:r>
      <w:proofErr w:type="spellStart"/>
      <w:r w:rsidRPr="00AF79A7">
        <w:rPr>
          <w:color w:val="000000"/>
          <w:sz w:val="24"/>
        </w:rPr>
        <w:t>Hudson</w:t>
      </w:r>
      <w:r>
        <w:rPr>
          <w:color w:val="000000"/>
          <w:sz w:val="24"/>
        </w:rPr>
        <w:t>.</w:t>
      </w:r>
      <w:r w:rsidRPr="00AF79A7">
        <w:rPr>
          <w:color w:val="000000"/>
          <w:sz w:val="24"/>
        </w:rPr>
        <w:t>Kracauer</w:t>
      </w:r>
      <w:proofErr w:type="spellEnd"/>
      <w:r w:rsidRPr="00AF79A7">
        <w:rPr>
          <w:color w:val="000000"/>
          <w:sz w:val="24"/>
        </w:rPr>
        <w:t>, Siegfried</w:t>
      </w:r>
      <w:r w:rsidRPr="00AF79A7">
        <w:rPr>
          <w:rStyle w:val="apple-converted-space"/>
          <w:color w:val="000000"/>
          <w:sz w:val="24"/>
        </w:rPr>
        <w:t> </w:t>
      </w:r>
      <w:r>
        <w:rPr>
          <w:rStyle w:val="apple-converted-space"/>
          <w:color w:val="000000"/>
          <w:sz w:val="24"/>
        </w:rPr>
        <w:t>(1947)</w:t>
      </w:r>
      <w:r w:rsidRPr="00AF79A7">
        <w:rPr>
          <w:rStyle w:val="apple-converted-space"/>
          <w:color w:val="000000"/>
          <w:sz w:val="24"/>
        </w:rPr>
        <w:t xml:space="preserve"> </w:t>
      </w:r>
      <w:r w:rsidRPr="00AF79A7">
        <w:rPr>
          <w:i/>
          <w:iCs/>
          <w:color w:val="000000"/>
          <w:sz w:val="24"/>
        </w:rPr>
        <w:t xml:space="preserve">From </w:t>
      </w:r>
      <w:proofErr w:type="spellStart"/>
      <w:r w:rsidRPr="00AF79A7">
        <w:rPr>
          <w:i/>
          <w:iCs/>
          <w:color w:val="000000"/>
          <w:sz w:val="24"/>
        </w:rPr>
        <w:t>Caligari</w:t>
      </w:r>
      <w:proofErr w:type="spellEnd"/>
      <w:r w:rsidRPr="00AF79A7">
        <w:rPr>
          <w:i/>
          <w:iCs/>
          <w:color w:val="000000"/>
          <w:sz w:val="24"/>
        </w:rPr>
        <w:t xml:space="preserve"> to Hitler: A Psychological History of the German Film</w:t>
      </w:r>
      <w:r w:rsidRPr="00AF79A7">
        <w:rPr>
          <w:color w:val="000000"/>
          <w:sz w:val="24"/>
        </w:rPr>
        <w:t>. Princeton: Princeton University Press</w:t>
      </w:r>
      <w:r>
        <w:rPr>
          <w:color w:val="000000"/>
          <w:sz w:val="24"/>
        </w:rPr>
        <w:t>.</w:t>
      </w:r>
    </w:p>
    <w:p w14:paraId="0A1AE761" w14:textId="77777777" w:rsidR="00AF79A7" w:rsidRDefault="00AF79A7" w:rsidP="00C45161">
      <w:pPr>
        <w:rPr>
          <w:color w:val="000000"/>
          <w:sz w:val="24"/>
        </w:rPr>
      </w:pPr>
    </w:p>
    <w:p w14:paraId="452B1C7A" w14:textId="77777777" w:rsidR="00AF79A7" w:rsidRDefault="00455F7D" w:rsidP="00C45161">
      <w:pPr>
        <w:rPr>
          <w:color w:val="000000"/>
          <w:sz w:val="24"/>
        </w:rPr>
      </w:pPr>
      <w:r>
        <w:rPr>
          <w:color w:val="000000"/>
          <w:sz w:val="24"/>
        </w:rPr>
        <w:t xml:space="preserve">Entry writer: </w:t>
      </w:r>
      <w:proofErr w:type="spellStart"/>
      <w:r w:rsidR="00AF79A7">
        <w:rPr>
          <w:color w:val="000000"/>
          <w:sz w:val="24"/>
        </w:rPr>
        <w:t>Avishek</w:t>
      </w:r>
      <w:proofErr w:type="spellEnd"/>
      <w:r w:rsidR="00AF79A7">
        <w:rPr>
          <w:color w:val="000000"/>
          <w:sz w:val="24"/>
        </w:rPr>
        <w:t xml:space="preserve"> </w:t>
      </w:r>
      <w:proofErr w:type="spellStart"/>
      <w:r w:rsidR="00AF79A7">
        <w:rPr>
          <w:color w:val="000000"/>
          <w:sz w:val="24"/>
        </w:rPr>
        <w:t>Parui</w:t>
      </w:r>
      <w:proofErr w:type="spellEnd"/>
    </w:p>
    <w:p w14:paraId="21F03C8E" w14:textId="77777777" w:rsidR="00AF79A7" w:rsidRPr="00AF79A7" w:rsidRDefault="00AF79A7" w:rsidP="00C45161">
      <w:pPr>
        <w:rPr>
          <w:sz w:val="24"/>
        </w:rPr>
      </w:pPr>
      <w:r>
        <w:rPr>
          <w:color w:val="000000"/>
          <w:sz w:val="24"/>
        </w:rPr>
        <w:t xml:space="preserve">Durham University UK. </w:t>
      </w:r>
    </w:p>
    <w:sectPr w:rsidR="00AF79A7" w:rsidRPr="00AF79A7" w:rsidSect="00C47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758"/>
    <w:rsid w:val="00051AE9"/>
    <w:rsid w:val="000F50B7"/>
    <w:rsid w:val="001045CD"/>
    <w:rsid w:val="00111AD9"/>
    <w:rsid w:val="00224989"/>
    <w:rsid w:val="002479B6"/>
    <w:rsid w:val="00256852"/>
    <w:rsid w:val="00303835"/>
    <w:rsid w:val="0038070C"/>
    <w:rsid w:val="00416758"/>
    <w:rsid w:val="00455F7D"/>
    <w:rsid w:val="004B02BE"/>
    <w:rsid w:val="004B3186"/>
    <w:rsid w:val="004D629C"/>
    <w:rsid w:val="007C6D12"/>
    <w:rsid w:val="00947FE1"/>
    <w:rsid w:val="00A27F3C"/>
    <w:rsid w:val="00A61325"/>
    <w:rsid w:val="00A64366"/>
    <w:rsid w:val="00AB1608"/>
    <w:rsid w:val="00AF79A7"/>
    <w:rsid w:val="00C45161"/>
    <w:rsid w:val="00C47441"/>
    <w:rsid w:val="00C644CF"/>
    <w:rsid w:val="00CA500E"/>
    <w:rsid w:val="00D93347"/>
    <w:rsid w:val="00DA2587"/>
    <w:rsid w:val="00DC3314"/>
    <w:rsid w:val="00DD6133"/>
    <w:rsid w:val="00E266A5"/>
    <w:rsid w:val="00E94B10"/>
    <w:rsid w:val="00EC131E"/>
    <w:rsid w:val="00EF27C6"/>
    <w:rsid w:val="00F7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29F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6A5"/>
    <w:pPr>
      <w:spacing w:after="0" w:line="240" w:lineRule="auto"/>
      <w:jc w:val="both"/>
    </w:pPr>
    <w:rPr>
      <w:rFonts w:ascii="Times New Roman" w:hAnsi="Times New Roman" w:cs="Times New Roman"/>
      <w:sz w:val="2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autoRedefine/>
    <w:uiPriority w:val="99"/>
    <w:unhideWhenUsed/>
    <w:rsid w:val="00A61325"/>
    <w:rPr>
      <w:rFonts w:cstheme="minorBidi"/>
      <w:szCs w:val="20"/>
      <w:lang w:val="en-GB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61325"/>
    <w:rPr>
      <w:rFonts w:ascii="Times New Roman" w:hAnsi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416758"/>
  </w:style>
  <w:style w:type="character" w:styleId="FootnoteReference">
    <w:name w:val="footnote reference"/>
    <w:basedOn w:val="DefaultParagraphFont"/>
    <w:uiPriority w:val="99"/>
    <w:semiHidden/>
    <w:unhideWhenUsed/>
    <w:rsid w:val="00416758"/>
  </w:style>
  <w:style w:type="character" w:customStyle="1" w:styleId="grame">
    <w:name w:val="grame"/>
    <w:basedOn w:val="DefaultParagraphFont"/>
    <w:rsid w:val="00AF79A7"/>
  </w:style>
  <w:style w:type="paragraph" w:styleId="BalloonText">
    <w:name w:val="Balloon Text"/>
    <w:basedOn w:val="Normal"/>
    <w:link w:val="BalloonTextChar"/>
    <w:uiPriority w:val="99"/>
    <w:semiHidden/>
    <w:unhideWhenUsed/>
    <w:rsid w:val="00947F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FE1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6A5"/>
    <w:pPr>
      <w:spacing w:after="0" w:line="240" w:lineRule="auto"/>
      <w:jc w:val="both"/>
    </w:pPr>
    <w:rPr>
      <w:rFonts w:ascii="Times New Roman" w:hAnsi="Times New Roman" w:cs="Times New Roman"/>
      <w:sz w:val="2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autoRedefine/>
    <w:uiPriority w:val="99"/>
    <w:unhideWhenUsed/>
    <w:rsid w:val="00A61325"/>
    <w:rPr>
      <w:rFonts w:cstheme="minorBidi"/>
      <w:szCs w:val="20"/>
      <w:lang w:val="en-GB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61325"/>
    <w:rPr>
      <w:rFonts w:ascii="Times New Roman" w:hAnsi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416758"/>
  </w:style>
  <w:style w:type="character" w:styleId="FootnoteReference">
    <w:name w:val="footnote reference"/>
    <w:basedOn w:val="DefaultParagraphFont"/>
    <w:uiPriority w:val="99"/>
    <w:semiHidden/>
    <w:unhideWhenUsed/>
    <w:rsid w:val="00416758"/>
  </w:style>
  <w:style w:type="character" w:customStyle="1" w:styleId="grame">
    <w:name w:val="grame"/>
    <w:basedOn w:val="DefaultParagraphFont"/>
    <w:rsid w:val="00AF79A7"/>
  </w:style>
  <w:style w:type="paragraph" w:styleId="BalloonText">
    <w:name w:val="Balloon Text"/>
    <w:basedOn w:val="Normal"/>
    <w:link w:val="BalloonTextChar"/>
    <w:uiPriority w:val="99"/>
    <w:semiHidden/>
    <w:unhideWhenUsed/>
    <w:rsid w:val="00947F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FE1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DAWN</cp:lastModifiedBy>
  <cp:revision>5</cp:revision>
  <dcterms:created xsi:type="dcterms:W3CDTF">2014-07-20T23:48:00Z</dcterms:created>
  <dcterms:modified xsi:type="dcterms:W3CDTF">2014-07-21T00:19:00Z</dcterms:modified>
</cp:coreProperties>
</file>