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E9987" w14:textId="77777777" w:rsidR="0035286E" w:rsidRDefault="00FF08DE">
      <w:r>
        <w:t>Collage</w:t>
      </w:r>
    </w:p>
    <w:p w14:paraId="2344C323" w14:textId="77777777" w:rsidR="007A0011" w:rsidRDefault="00FF08DE">
      <w:pPr>
        <w:rPr>
          <w:lang w:val="en-GB"/>
        </w:rPr>
      </w:pPr>
      <w:r w:rsidRPr="007A0011">
        <w:rPr>
          <w:lang w:val="en-GB"/>
        </w:rPr>
        <w:t>Collage is an artistic technique first used in the 20</w:t>
      </w:r>
      <w:r w:rsidRPr="007A0011">
        <w:rPr>
          <w:vertAlign w:val="superscript"/>
          <w:lang w:val="en-GB"/>
        </w:rPr>
        <w:t>th</w:t>
      </w:r>
      <w:r w:rsidRPr="007A0011">
        <w:rPr>
          <w:lang w:val="en-GB"/>
        </w:rPr>
        <w:t xml:space="preserve"> century, which comprises of gluing paper, photographs, fabric and other items onto paper or canvas. Collage was central to the development of Cubism and, in particular, in the work of Pablo Picasso and George Braque. </w:t>
      </w:r>
      <w:r w:rsidR="007A0011" w:rsidRPr="007A0011">
        <w:rPr>
          <w:lang w:val="en-GB"/>
        </w:rPr>
        <w:t xml:space="preserve">Braque is said to have invented </w:t>
      </w:r>
      <w:proofErr w:type="spellStart"/>
      <w:r w:rsidR="007A0011" w:rsidRPr="007A0011">
        <w:rPr>
          <w:i/>
          <w:lang w:val="en-GB"/>
        </w:rPr>
        <w:t>papier</w:t>
      </w:r>
      <w:proofErr w:type="spellEnd"/>
      <w:r w:rsidR="007A0011" w:rsidRPr="007A0011">
        <w:rPr>
          <w:i/>
          <w:lang w:val="en-GB"/>
        </w:rPr>
        <w:t xml:space="preserve"> </w:t>
      </w:r>
      <w:proofErr w:type="spellStart"/>
      <w:r w:rsidR="007A0011" w:rsidRPr="007A0011">
        <w:rPr>
          <w:i/>
          <w:lang w:val="en-GB"/>
        </w:rPr>
        <w:t>collé</w:t>
      </w:r>
      <w:proofErr w:type="spellEnd"/>
      <w:r w:rsidR="007A0011" w:rsidRPr="007A0011">
        <w:rPr>
          <w:lang w:val="en-GB"/>
        </w:rPr>
        <w:t>, a specific form of collage in which paper strips and fragments are pasted onto the drawing or painting.</w:t>
      </w:r>
      <w:r w:rsidR="007A0011">
        <w:rPr>
          <w:lang w:val="en-GB"/>
        </w:rPr>
        <w:t xml:space="preserve"> </w:t>
      </w:r>
      <w:r w:rsidR="0059675E" w:rsidRPr="007A0011">
        <w:rPr>
          <w:lang w:val="en-GB"/>
        </w:rPr>
        <w:t>In 1912 t</w:t>
      </w:r>
      <w:r w:rsidR="00263FEC" w:rsidRPr="007A0011">
        <w:rPr>
          <w:lang w:val="en-GB"/>
        </w:rPr>
        <w:t>he two artists</w:t>
      </w:r>
      <w:r w:rsidR="0059675E" w:rsidRPr="007A0011">
        <w:rPr>
          <w:lang w:val="en-GB"/>
        </w:rPr>
        <w:t xml:space="preserve"> began to introduce paper,</w:t>
      </w:r>
      <w:r w:rsidR="00263FEC" w:rsidRPr="007A0011">
        <w:rPr>
          <w:lang w:val="en-GB"/>
        </w:rPr>
        <w:t xml:space="preserve"> cigarette packets, newspapers and other items that suggested everyday life</w:t>
      </w:r>
      <w:r w:rsidR="0059675E" w:rsidRPr="007A0011">
        <w:rPr>
          <w:lang w:val="en-GB"/>
        </w:rPr>
        <w:t xml:space="preserve"> into their canvases</w:t>
      </w:r>
      <w:r w:rsidR="00263FEC" w:rsidRPr="007A0011">
        <w:rPr>
          <w:lang w:val="en-GB"/>
        </w:rPr>
        <w:t>; Braque stated that he introduced these items into his work for their ‘materiality.’</w:t>
      </w:r>
      <w:r w:rsidR="0059675E" w:rsidRPr="007A0011">
        <w:rPr>
          <w:lang w:val="en-GB"/>
        </w:rPr>
        <w:t xml:space="preserve"> </w:t>
      </w:r>
      <w:r w:rsidR="007A0011">
        <w:rPr>
          <w:lang w:val="en-GB"/>
        </w:rPr>
        <w:t xml:space="preserve">Picasso wrote: </w:t>
      </w:r>
    </w:p>
    <w:p w14:paraId="1FFEC931" w14:textId="77777777" w:rsidR="007A0011" w:rsidRDefault="007A0011">
      <w:pPr>
        <w:rPr>
          <w:lang w:val="en-GB"/>
        </w:rPr>
      </w:pPr>
      <w:r>
        <w:rPr>
          <w:lang w:val="en-GB"/>
        </w:rPr>
        <w:t xml:space="preserve">‘…the purpose of </w:t>
      </w:r>
      <w:proofErr w:type="spellStart"/>
      <w:r w:rsidRPr="007A0011">
        <w:rPr>
          <w:i/>
          <w:lang w:val="en-GB"/>
        </w:rPr>
        <w:t>papier</w:t>
      </w:r>
      <w:proofErr w:type="spellEnd"/>
      <w:r w:rsidRPr="007A0011">
        <w:rPr>
          <w:i/>
          <w:lang w:val="en-GB"/>
        </w:rPr>
        <w:t xml:space="preserve"> </w:t>
      </w:r>
      <w:proofErr w:type="spellStart"/>
      <w:r w:rsidRPr="007A0011">
        <w:rPr>
          <w:i/>
          <w:lang w:val="en-GB"/>
        </w:rPr>
        <w:t>collé</w:t>
      </w:r>
      <w:proofErr w:type="spellEnd"/>
      <w:r>
        <w:rPr>
          <w:i/>
          <w:lang w:val="en-GB"/>
        </w:rPr>
        <w:t xml:space="preserve"> </w:t>
      </w:r>
      <w:r>
        <w:rPr>
          <w:lang w:val="en-GB"/>
        </w:rPr>
        <w:t xml:space="preserve">was to give the idea that different textures can enter into a composition to become reality in the painting that competes with reality in nature.’ </w:t>
      </w:r>
    </w:p>
    <w:p w14:paraId="1F74405B" w14:textId="77777777" w:rsidR="005318E1" w:rsidRDefault="007A0011">
      <w:pPr>
        <w:rPr>
          <w:lang w:val="en-GB"/>
        </w:rPr>
      </w:pPr>
      <w:r>
        <w:rPr>
          <w:lang w:val="en-GB"/>
        </w:rPr>
        <w:t>The artist would introduce, for example, paper that represented wood panelling for an image of a guitar. This countered the trompe l’oeil effects of painting, with Picasso proposing that it was a ‘displaced object’ that reflected the</w:t>
      </w:r>
      <w:r w:rsidR="009361F1">
        <w:rPr>
          <w:lang w:val="en-GB"/>
        </w:rPr>
        <w:t>ir</w:t>
      </w:r>
      <w:r>
        <w:rPr>
          <w:lang w:val="en-GB"/>
        </w:rPr>
        <w:t xml:space="preserve"> </w:t>
      </w:r>
      <w:r w:rsidR="009361F1">
        <w:rPr>
          <w:lang w:val="en-GB"/>
        </w:rPr>
        <w:t>‘strange’ world. It can be argued that these fragments reflected the fragmentation of th</w:t>
      </w:r>
      <w:r w:rsidR="00127283">
        <w:rPr>
          <w:lang w:val="en-GB"/>
        </w:rPr>
        <w:t>e modern world under capitalism and is closing aligned to the montage technique found in modernist writing, such as that of Walter Benjamin, and modernist photography (</w:t>
      </w:r>
      <w:r w:rsidR="005C74BB">
        <w:rPr>
          <w:lang w:val="en-GB"/>
        </w:rPr>
        <w:t>Hannah H</w:t>
      </w:r>
      <w:r w:rsidR="005C74BB" w:rsidRPr="005C74BB">
        <w:t>ö</w:t>
      </w:r>
      <w:proofErr w:type="spellStart"/>
      <w:r w:rsidR="005C74BB" w:rsidRPr="005C74BB">
        <w:rPr>
          <w:lang w:val="en-GB"/>
        </w:rPr>
        <w:t>ch</w:t>
      </w:r>
      <w:proofErr w:type="spellEnd"/>
      <w:r w:rsidR="00127283">
        <w:rPr>
          <w:lang w:val="en-GB"/>
        </w:rPr>
        <w:t>) and film (</w:t>
      </w:r>
      <w:proofErr w:type="spellStart"/>
      <w:r w:rsidR="00127283">
        <w:rPr>
          <w:lang w:val="en-GB"/>
        </w:rPr>
        <w:t>Dziga</w:t>
      </w:r>
      <w:proofErr w:type="spellEnd"/>
      <w:r w:rsidR="00127283">
        <w:rPr>
          <w:lang w:val="en-GB"/>
        </w:rPr>
        <w:t xml:space="preserve"> </w:t>
      </w:r>
      <w:proofErr w:type="spellStart"/>
      <w:r w:rsidR="00127283">
        <w:rPr>
          <w:lang w:val="en-GB"/>
        </w:rPr>
        <w:t>Vertov</w:t>
      </w:r>
      <w:proofErr w:type="spellEnd"/>
      <w:r w:rsidR="00127283">
        <w:rPr>
          <w:lang w:val="en-GB"/>
        </w:rPr>
        <w:t>).</w:t>
      </w:r>
      <w:r w:rsidR="004D3A46">
        <w:rPr>
          <w:lang w:val="en-GB"/>
        </w:rPr>
        <w:t xml:space="preserve"> </w:t>
      </w:r>
    </w:p>
    <w:p w14:paraId="0DCE204C" w14:textId="77777777" w:rsidR="00E658D3" w:rsidRDefault="00E658D3">
      <w:pPr>
        <w:rPr>
          <w:lang w:val="en-GB"/>
        </w:rPr>
      </w:pPr>
    </w:p>
    <w:p w14:paraId="3F6F9152" w14:textId="77777777" w:rsidR="00B85D41" w:rsidRDefault="00737579">
      <w:pPr>
        <w:rPr>
          <w:lang w:val="en-GB"/>
        </w:rPr>
      </w:pPr>
      <w:bookmarkStart w:id="0" w:name="_GoBack"/>
      <w:bookmarkEnd w:id="0"/>
      <w:r>
        <w:rPr>
          <w:lang w:val="en-GB"/>
        </w:rPr>
        <w:t xml:space="preserve">Clement </w:t>
      </w:r>
      <w:proofErr w:type="gramStart"/>
      <w:r>
        <w:rPr>
          <w:lang w:val="en-GB"/>
        </w:rPr>
        <w:t>Greenberg,</w:t>
      </w:r>
      <w:proofErr w:type="gramEnd"/>
      <w:r>
        <w:rPr>
          <w:lang w:val="en-GB"/>
        </w:rPr>
        <w:t xml:space="preserve"> argued</w:t>
      </w:r>
      <w:r w:rsidR="00127283">
        <w:rPr>
          <w:lang w:val="en-GB"/>
        </w:rPr>
        <w:t xml:space="preserve"> that, after Cubism, </w:t>
      </w:r>
      <w:r>
        <w:rPr>
          <w:lang w:val="en-GB"/>
        </w:rPr>
        <w:t xml:space="preserve">collage was </w:t>
      </w:r>
      <w:r w:rsidR="00127283">
        <w:rPr>
          <w:lang w:val="en-GB"/>
        </w:rPr>
        <w:t>used to ‘shock’;</w:t>
      </w:r>
      <w:r>
        <w:rPr>
          <w:lang w:val="en-GB"/>
        </w:rPr>
        <w:t xml:space="preserve"> </w:t>
      </w:r>
      <w:r w:rsidR="00127283">
        <w:rPr>
          <w:lang w:val="en-GB"/>
        </w:rPr>
        <w:t>the technique</w:t>
      </w:r>
      <w:r>
        <w:rPr>
          <w:lang w:val="en-GB"/>
        </w:rPr>
        <w:t xml:space="preserve"> was </w:t>
      </w:r>
      <w:r w:rsidR="009361F1">
        <w:rPr>
          <w:lang w:val="en-GB"/>
        </w:rPr>
        <w:t>adopted by the Surrealists and also b</w:t>
      </w:r>
      <w:r w:rsidR="00127283">
        <w:rPr>
          <w:lang w:val="en-GB"/>
        </w:rPr>
        <w:t xml:space="preserve">y artists associated with Dada to create </w:t>
      </w:r>
      <w:r w:rsidR="005318E1">
        <w:rPr>
          <w:lang w:val="en-GB"/>
        </w:rPr>
        <w:t>‘surreal’</w:t>
      </w:r>
      <w:r w:rsidR="00127283">
        <w:rPr>
          <w:lang w:val="en-GB"/>
        </w:rPr>
        <w:t xml:space="preserve"> ensembles in keeping with the movements’ imagery. </w:t>
      </w:r>
      <w:r w:rsidR="00357D6C">
        <w:rPr>
          <w:lang w:val="en-GB"/>
        </w:rPr>
        <w:t xml:space="preserve">However, not all of it was shocking, </w:t>
      </w:r>
      <w:r w:rsidR="00B94169">
        <w:rPr>
          <w:lang w:val="en-GB"/>
        </w:rPr>
        <w:t xml:space="preserve">Dawn </w:t>
      </w:r>
      <w:proofErr w:type="spellStart"/>
      <w:r w:rsidR="00B94169">
        <w:rPr>
          <w:lang w:val="en-GB"/>
        </w:rPr>
        <w:t>Ades</w:t>
      </w:r>
      <w:proofErr w:type="spellEnd"/>
      <w:r w:rsidR="00B94169">
        <w:rPr>
          <w:lang w:val="en-GB"/>
        </w:rPr>
        <w:t xml:space="preserve"> suggests that by creating simple, geometric collages Jean Arp and Sophie </w:t>
      </w:r>
      <w:proofErr w:type="spellStart"/>
      <w:r w:rsidR="00B94169">
        <w:rPr>
          <w:lang w:val="en-GB"/>
        </w:rPr>
        <w:t>Taeuber</w:t>
      </w:r>
      <w:proofErr w:type="spellEnd"/>
      <w:r w:rsidR="00B94169">
        <w:rPr>
          <w:lang w:val="en-GB"/>
        </w:rPr>
        <w:t xml:space="preserve"> could make art that was both ‘anonymous and collective.’ </w:t>
      </w:r>
      <w:r w:rsidR="00357D6C">
        <w:rPr>
          <w:lang w:val="en-GB"/>
        </w:rPr>
        <w:t xml:space="preserve">The use of chance further contributed to the eradication of the artist’s hand in these works. </w:t>
      </w:r>
    </w:p>
    <w:p w14:paraId="1FF8B159" w14:textId="2807EBA9" w:rsidR="009361F1" w:rsidRDefault="00127283">
      <w:pPr>
        <w:rPr>
          <w:lang w:val="en-GB"/>
        </w:rPr>
      </w:pPr>
      <w:r>
        <w:rPr>
          <w:lang w:val="en-GB"/>
        </w:rPr>
        <w:t xml:space="preserve">Perhaps one of the most iconic uses of collage in British Modernist art is Richard Hamilton’s </w:t>
      </w:r>
      <w:r w:rsidRPr="00127283">
        <w:rPr>
          <w:i/>
          <w:lang w:val="en-GB"/>
        </w:rPr>
        <w:t xml:space="preserve">Just what is it that makes today’s homes so different, so appealing? </w:t>
      </w:r>
      <w:proofErr w:type="gramStart"/>
      <w:r>
        <w:rPr>
          <w:lang w:val="en-GB"/>
        </w:rPr>
        <w:t xml:space="preserve">(1956) which clearly shows the modern world through collaging advertising imagery to create a modern-day </w:t>
      </w:r>
      <w:r w:rsidR="00B85D41">
        <w:rPr>
          <w:lang w:val="en-GB"/>
        </w:rPr>
        <w:t>‘</w:t>
      </w:r>
      <w:r>
        <w:rPr>
          <w:lang w:val="en-GB"/>
        </w:rPr>
        <w:t>home</w:t>
      </w:r>
      <w:r w:rsidR="00B85D41">
        <w:rPr>
          <w:lang w:val="en-GB"/>
        </w:rPr>
        <w:t>’ scene.</w:t>
      </w:r>
      <w:proofErr w:type="gramEnd"/>
      <w:r w:rsidR="00B85D41">
        <w:rPr>
          <w:lang w:val="en-GB"/>
        </w:rPr>
        <w:t xml:space="preserve"> Here, t</w:t>
      </w:r>
      <w:r>
        <w:rPr>
          <w:lang w:val="en-GB"/>
        </w:rPr>
        <w:t>he connection between capitalism, modernity and colla</w:t>
      </w:r>
      <w:r w:rsidR="00B85D41">
        <w:rPr>
          <w:lang w:val="en-GB"/>
        </w:rPr>
        <w:t xml:space="preserve">ge is not lost. </w:t>
      </w:r>
    </w:p>
    <w:p w14:paraId="21E2624E" w14:textId="721CC952" w:rsidR="00127283" w:rsidRPr="00357D6C" w:rsidRDefault="00127283">
      <w:pPr>
        <w:rPr>
          <w:b/>
          <w:lang w:val="en-GB"/>
        </w:rPr>
      </w:pPr>
      <w:r w:rsidRPr="00357D6C">
        <w:rPr>
          <w:b/>
          <w:lang w:val="en-GB"/>
        </w:rPr>
        <w:t>Further reading</w:t>
      </w:r>
    </w:p>
    <w:p w14:paraId="52CA4956" w14:textId="34B77CA9" w:rsidR="00183D24" w:rsidRDefault="00183D24">
      <w:pPr>
        <w:rPr>
          <w:lang w:val="en-GB"/>
        </w:rPr>
      </w:pPr>
      <w:proofErr w:type="spellStart"/>
      <w:r>
        <w:rPr>
          <w:lang w:val="en-GB"/>
        </w:rPr>
        <w:t>Ades</w:t>
      </w:r>
      <w:proofErr w:type="spellEnd"/>
      <w:r>
        <w:rPr>
          <w:lang w:val="en-GB"/>
        </w:rPr>
        <w:t xml:space="preserve">, D. (2001) ‘Cubism’ in </w:t>
      </w:r>
      <w:r w:rsidRPr="00127283">
        <w:rPr>
          <w:i/>
          <w:lang w:val="en-GB"/>
        </w:rPr>
        <w:t>Concepts of Modern Art: From Fauvism to Postmodernism</w:t>
      </w:r>
      <w:r>
        <w:rPr>
          <w:lang w:val="en-GB"/>
        </w:rPr>
        <w:t>, London: Thames and Hudson, pp.110-137.</w:t>
      </w:r>
    </w:p>
    <w:p w14:paraId="04E2211B" w14:textId="029881BE" w:rsidR="00127283" w:rsidRDefault="00127283">
      <w:pPr>
        <w:rPr>
          <w:lang w:val="en-GB"/>
        </w:rPr>
      </w:pPr>
      <w:r>
        <w:rPr>
          <w:lang w:val="en-GB"/>
        </w:rPr>
        <w:t xml:space="preserve">Golding, J. (2001) ‘Cubism’ in </w:t>
      </w:r>
      <w:r w:rsidRPr="00127283">
        <w:rPr>
          <w:i/>
          <w:lang w:val="en-GB"/>
        </w:rPr>
        <w:t>Concepts of Modern Art: From Fauvism to Postmodernism</w:t>
      </w:r>
      <w:r>
        <w:rPr>
          <w:lang w:val="en-GB"/>
        </w:rPr>
        <w:t>, London: Thames and Hudson, pp.50-78.</w:t>
      </w:r>
    </w:p>
    <w:p w14:paraId="2FB607A1" w14:textId="04A0C7B5" w:rsidR="00127283" w:rsidRDefault="00127283">
      <w:pPr>
        <w:rPr>
          <w:lang w:val="en-GB"/>
        </w:rPr>
      </w:pPr>
      <w:r>
        <w:rPr>
          <w:lang w:val="en-GB"/>
        </w:rPr>
        <w:t xml:space="preserve">Greenberg, C. (1961/1982) ‘Collage’ in </w:t>
      </w:r>
      <w:proofErr w:type="spellStart"/>
      <w:r>
        <w:rPr>
          <w:lang w:val="en-GB"/>
        </w:rPr>
        <w:t>Frascina</w:t>
      </w:r>
      <w:proofErr w:type="spellEnd"/>
      <w:r>
        <w:rPr>
          <w:lang w:val="en-GB"/>
        </w:rPr>
        <w:t xml:space="preserve"> and Harrison (</w:t>
      </w:r>
      <w:proofErr w:type="spellStart"/>
      <w:proofErr w:type="gramStart"/>
      <w:r>
        <w:rPr>
          <w:lang w:val="en-GB"/>
        </w:rPr>
        <w:t>ed</w:t>
      </w:r>
      <w:proofErr w:type="spellEnd"/>
      <w:proofErr w:type="gramEnd"/>
      <w:r>
        <w:rPr>
          <w:lang w:val="en-GB"/>
        </w:rPr>
        <w:t xml:space="preserve">) </w:t>
      </w:r>
      <w:r w:rsidRPr="00614611">
        <w:rPr>
          <w:i/>
          <w:lang w:val="en-GB"/>
        </w:rPr>
        <w:t>Modern Art and Modernism: A Critical Anthology</w:t>
      </w:r>
      <w:r w:rsidR="00614611">
        <w:rPr>
          <w:lang w:val="en-GB"/>
        </w:rPr>
        <w:t>, London: Paul Chapman Publishing, pp.105-108.</w:t>
      </w:r>
    </w:p>
    <w:p w14:paraId="54AB82EB" w14:textId="77777777" w:rsidR="00183D24" w:rsidRPr="007A0011" w:rsidRDefault="00183D24">
      <w:pPr>
        <w:rPr>
          <w:lang w:val="en-GB"/>
        </w:rPr>
      </w:pPr>
    </w:p>
    <w:p w14:paraId="22B8718F" w14:textId="77777777" w:rsidR="00FF08DE" w:rsidRDefault="00FF08DE"/>
    <w:p w14:paraId="18E946B4" w14:textId="77777777" w:rsidR="009361F1" w:rsidRDefault="009361F1"/>
    <w:p w14:paraId="484A335E" w14:textId="77777777" w:rsidR="009361F1" w:rsidRDefault="009361F1">
      <w:r>
        <w:t xml:space="preserve">Suggested images: </w:t>
      </w:r>
    </w:p>
    <w:p w14:paraId="61A17E07" w14:textId="28F47AB6" w:rsidR="009361F1" w:rsidRDefault="009361F1">
      <w:r>
        <w:t xml:space="preserve">Picasso, </w:t>
      </w:r>
      <w:r w:rsidRPr="009361F1">
        <w:t>Bottle of Vieux Marc, Glass, Guitar and Newspaper</w:t>
      </w:r>
      <w:r>
        <w:t xml:space="preserve"> (1913), </w:t>
      </w:r>
      <w:hyperlink r:id="rId7" w:history="1">
        <w:r w:rsidR="00127283" w:rsidRPr="00F55248">
          <w:rPr>
            <w:rStyle w:val="Hyperlink"/>
          </w:rPr>
          <w:t>http://www.tate.org.uk/art/artworks/picasso-bottle-of-vieux-marc-glass-guitar-and-newspaper-t00414</w:t>
        </w:r>
      </w:hyperlink>
    </w:p>
    <w:p w14:paraId="54CC4EC2" w14:textId="3DE5545E" w:rsidR="00127283" w:rsidRDefault="00127283">
      <w:pPr>
        <w:rPr>
          <w:lang w:val="en-GB"/>
        </w:rPr>
      </w:pPr>
      <w:r>
        <w:t xml:space="preserve">Richard Hamilton, </w:t>
      </w:r>
      <w:r w:rsidRPr="00127283">
        <w:rPr>
          <w:i/>
          <w:lang w:val="en-GB"/>
        </w:rPr>
        <w:t xml:space="preserve">Just what is it that makes today’s homes so different, so appealing? </w:t>
      </w:r>
      <w:r>
        <w:rPr>
          <w:lang w:val="en-GB"/>
        </w:rPr>
        <w:t xml:space="preserve">(1956), </w:t>
      </w:r>
      <w:hyperlink r:id="rId8" w:history="1">
        <w:r w:rsidRPr="00F55248">
          <w:rPr>
            <w:rStyle w:val="Hyperlink"/>
            <w:lang w:val="en-GB"/>
          </w:rPr>
          <w:t>http://en.wikipedia.org/wiki/File:Hamilton-appealing2.jpg</w:t>
        </w:r>
      </w:hyperlink>
    </w:p>
    <w:p w14:paraId="1A0DA9E7" w14:textId="6EE2B500" w:rsidR="00DB16F3" w:rsidRDefault="00DB16F3">
      <w:pPr>
        <w:rPr>
          <w:lang w:val="en-GB"/>
        </w:rPr>
      </w:pPr>
      <w:r w:rsidRPr="00DB16F3">
        <w:rPr>
          <w:bCs/>
          <w:iCs/>
        </w:rPr>
        <w:t>Jean Arp,</w:t>
      </w:r>
      <w:r w:rsidRPr="00DB16F3">
        <w:rPr>
          <w:bCs/>
          <w:i/>
          <w:iCs/>
        </w:rPr>
        <w:t xml:space="preserve"> Untitled (Collage with Squares Arranged according to the Laws of Chance)</w:t>
      </w:r>
      <w:r w:rsidRPr="00DB16F3">
        <w:rPr>
          <w:lang w:val="en-GB"/>
        </w:rPr>
        <w:t xml:space="preserve"> (1917</w:t>
      </w:r>
      <w:r>
        <w:rPr>
          <w:lang w:val="en-GB"/>
        </w:rPr>
        <w:t xml:space="preserve">), </w:t>
      </w:r>
      <w:r w:rsidRPr="00DB16F3">
        <w:rPr>
          <w:lang w:val="en-GB"/>
        </w:rPr>
        <w:t>http://www.moma.org/learn/moma_learning/jean-hans-arp-untitled-collage-with-squares-arranged-according-to-the-laws-of-chance-1916-17</w:t>
      </w:r>
    </w:p>
    <w:p w14:paraId="62A62F0A" w14:textId="77777777" w:rsidR="00127283" w:rsidRDefault="00127283"/>
    <w:sectPr w:rsidR="00127283" w:rsidSect="0035286E">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FF825" w14:textId="77777777" w:rsidR="00A61969" w:rsidRDefault="00A61969" w:rsidP="00FF08DE">
      <w:pPr>
        <w:spacing w:after="0"/>
      </w:pPr>
      <w:r>
        <w:separator/>
      </w:r>
    </w:p>
  </w:endnote>
  <w:endnote w:type="continuationSeparator" w:id="0">
    <w:p w14:paraId="7D99D934" w14:textId="77777777" w:rsidR="00A61969" w:rsidRDefault="00A61969" w:rsidP="00FF08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F13F0" w14:textId="77777777" w:rsidR="00A61969" w:rsidRDefault="00A61969" w:rsidP="00FF08DE">
      <w:pPr>
        <w:spacing w:after="0"/>
      </w:pPr>
      <w:r>
        <w:separator/>
      </w:r>
    </w:p>
  </w:footnote>
  <w:footnote w:type="continuationSeparator" w:id="0">
    <w:p w14:paraId="1F832A26" w14:textId="77777777" w:rsidR="00A61969" w:rsidRDefault="00A61969" w:rsidP="00FF08D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BAE7" w14:textId="77777777" w:rsidR="00183D24" w:rsidRPr="00FF08DE" w:rsidRDefault="00183D24">
    <w:pPr>
      <w:pStyle w:val="Header"/>
      <w:rPr>
        <w:sz w:val="20"/>
        <w:szCs w:val="20"/>
      </w:rPr>
    </w:pPr>
    <w:r w:rsidRPr="00FF08DE">
      <w:rPr>
        <w:sz w:val="20"/>
        <w:szCs w:val="20"/>
      </w:rPr>
      <w:t>Danielle Child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DE"/>
    <w:rsid w:val="00127283"/>
    <w:rsid w:val="00183D24"/>
    <w:rsid w:val="00263FEC"/>
    <w:rsid w:val="003028A0"/>
    <w:rsid w:val="0035286E"/>
    <w:rsid w:val="00357D6C"/>
    <w:rsid w:val="004D3A46"/>
    <w:rsid w:val="005318E1"/>
    <w:rsid w:val="0059675E"/>
    <w:rsid w:val="005C74BB"/>
    <w:rsid w:val="00614611"/>
    <w:rsid w:val="00737579"/>
    <w:rsid w:val="007A0011"/>
    <w:rsid w:val="009361F1"/>
    <w:rsid w:val="00A61969"/>
    <w:rsid w:val="00B714B5"/>
    <w:rsid w:val="00B85D41"/>
    <w:rsid w:val="00B94169"/>
    <w:rsid w:val="00C6311A"/>
    <w:rsid w:val="00DB16F3"/>
    <w:rsid w:val="00E658D3"/>
    <w:rsid w:val="00F02405"/>
    <w:rsid w:val="00FA1EE2"/>
    <w:rsid w:val="00FF08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9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1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14B5"/>
    <w:rPr>
      <w:rFonts w:ascii="Times New Roman" w:hAnsi="Times New Roman"/>
    </w:rPr>
  </w:style>
  <w:style w:type="character" w:customStyle="1" w:styleId="FootnoteTextChar">
    <w:name w:val="Footnote Text Char"/>
    <w:basedOn w:val="DefaultParagraphFont"/>
    <w:link w:val="FootnoteText"/>
    <w:uiPriority w:val="99"/>
    <w:semiHidden/>
    <w:rsid w:val="00B714B5"/>
    <w:rPr>
      <w:rFonts w:ascii="Times New Roman" w:hAnsi="Times New Roman"/>
      <w:szCs w:val="24"/>
      <w:lang w:val="en-US"/>
    </w:rPr>
  </w:style>
  <w:style w:type="paragraph" w:styleId="Header">
    <w:name w:val="header"/>
    <w:basedOn w:val="Normal"/>
    <w:link w:val="HeaderChar"/>
    <w:uiPriority w:val="99"/>
    <w:unhideWhenUsed/>
    <w:rsid w:val="00FF08DE"/>
    <w:pPr>
      <w:tabs>
        <w:tab w:val="center" w:pos="4320"/>
        <w:tab w:val="right" w:pos="8640"/>
      </w:tabs>
      <w:spacing w:after="0"/>
    </w:pPr>
  </w:style>
  <w:style w:type="character" w:customStyle="1" w:styleId="HeaderChar">
    <w:name w:val="Header Char"/>
    <w:basedOn w:val="DefaultParagraphFont"/>
    <w:link w:val="Header"/>
    <w:uiPriority w:val="99"/>
    <w:rsid w:val="00FF08DE"/>
    <w:rPr>
      <w:rFonts w:ascii="Arial" w:hAnsi="Arial"/>
    </w:rPr>
  </w:style>
  <w:style w:type="paragraph" w:styleId="Footer">
    <w:name w:val="footer"/>
    <w:basedOn w:val="Normal"/>
    <w:link w:val="FooterChar"/>
    <w:uiPriority w:val="99"/>
    <w:unhideWhenUsed/>
    <w:rsid w:val="00FF08DE"/>
    <w:pPr>
      <w:tabs>
        <w:tab w:val="center" w:pos="4320"/>
        <w:tab w:val="right" w:pos="8640"/>
      </w:tabs>
      <w:spacing w:after="0"/>
    </w:pPr>
  </w:style>
  <w:style w:type="character" w:customStyle="1" w:styleId="FooterChar">
    <w:name w:val="Footer Char"/>
    <w:basedOn w:val="DefaultParagraphFont"/>
    <w:link w:val="Footer"/>
    <w:uiPriority w:val="99"/>
    <w:rsid w:val="00FF08DE"/>
    <w:rPr>
      <w:rFonts w:ascii="Arial" w:hAnsi="Arial"/>
    </w:rPr>
  </w:style>
  <w:style w:type="character" w:styleId="Hyperlink">
    <w:name w:val="Hyperlink"/>
    <w:basedOn w:val="DefaultParagraphFont"/>
    <w:uiPriority w:val="99"/>
    <w:unhideWhenUsed/>
    <w:rsid w:val="001272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1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14B5"/>
    <w:rPr>
      <w:rFonts w:ascii="Times New Roman" w:hAnsi="Times New Roman"/>
    </w:rPr>
  </w:style>
  <w:style w:type="character" w:customStyle="1" w:styleId="FootnoteTextChar">
    <w:name w:val="Footnote Text Char"/>
    <w:basedOn w:val="DefaultParagraphFont"/>
    <w:link w:val="FootnoteText"/>
    <w:uiPriority w:val="99"/>
    <w:semiHidden/>
    <w:rsid w:val="00B714B5"/>
    <w:rPr>
      <w:rFonts w:ascii="Times New Roman" w:hAnsi="Times New Roman"/>
      <w:szCs w:val="24"/>
      <w:lang w:val="en-US"/>
    </w:rPr>
  </w:style>
  <w:style w:type="paragraph" w:styleId="Header">
    <w:name w:val="header"/>
    <w:basedOn w:val="Normal"/>
    <w:link w:val="HeaderChar"/>
    <w:uiPriority w:val="99"/>
    <w:unhideWhenUsed/>
    <w:rsid w:val="00FF08DE"/>
    <w:pPr>
      <w:tabs>
        <w:tab w:val="center" w:pos="4320"/>
        <w:tab w:val="right" w:pos="8640"/>
      </w:tabs>
      <w:spacing w:after="0"/>
    </w:pPr>
  </w:style>
  <w:style w:type="character" w:customStyle="1" w:styleId="HeaderChar">
    <w:name w:val="Header Char"/>
    <w:basedOn w:val="DefaultParagraphFont"/>
    <w:link w:val="Header"/>
    <w:uiPriority w:val="99"/>
    <w:rsid w:val="00FF08DE"/>
    <w:rPr>
      <w:rFonts w:ascii="Arial" w:hAnsi="Arial"/>
    </w:rPr>
  </w:style>
  <w:style w:type="paragraph" w:styleId="Footer">
    <w:name w:val="footer"/>
    <w:basedOn w:val="Normal"/>
    <w:link w:val="FooterChar"/>
    <w:uiPriority w:val="99"/>
    <w:unhideWhenUsed/>
    <w:rsid w:val="00FF08DE"/>
    <w:pPr>
      <w:tabs>
        <w:tab w:val="center" w:pos="4320"/>
        <w:tab w:val="right" w:pos="8640"/>
      </w:tabs>
      <w:spacing w:after="0"/>
    </w:pPr>
  </w:style>
  <w:style w:type="character" w:customStyle="1" w:styleId="FooterChar">
    <w:name w:val="Footer Char"/>
    <w:basedOn w:val="DefaultParagraphFont"/>
    <w:link w:val="Footer"/>
    <w:uiPriority w:val="99"/>
    <w:rsid w:val="00FF08DE"/>
    <w:rPr>
      <w:rFonts w:ascii="Arial" w:hAnsi="Arial"/>
    </w:rPr>
  </w:style>
  <w:style w:type="character" w:styleId="Hyperlink">
    <w:name w:val="Hyperlink"/>
    <w:basedOn w:val="DefaultParagraphFont"/>
    <w:uiPriority w:val="99"/>
    <w:unhideWhenUsed/>
    <w:rsid w:val="001272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Hamilton-appealing2.jpg" TargetMode="External"/><Relationship Id="rId3" Type="http://schemas.openxmlformats.org/officeDocument/2006/relationships/settings" Target="settings.xml"/><Relationship Id="rId7" Type="http://schemas.openxmlformats.org/officeDocument/2006/relationships/hyperlink" Target="http://www.tate.org.uk/art/artworks/picasso-bottle-of-vieux-marc-glass-guitar-and-newspaper-t0041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819CC080.dotm</Template>
  <TotalTime>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Child</dc:creator>
  <cp:lastModifiedBy>ded6hd</cp:lastModifiedBy>
  <cp:revision>2</cp:revision>
  <dcterms:created xsi:type="dcterms:W3CDTF">2014-05-30T12:13:00Z</dcterms:created>
  <dcterms:modified xsi:type="dcterms:W3CDTF">2014-05-30T12:13:00Z</dcterms:modified>
</cp:coreProperties>
</file>