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06BC" w:rsidRDefault="00EA61C4">
      <w:r>
        <w:t>David Jones media</w:t>
      </w:r>
    </w:p>
    <w:p w:rsidR="00EA61C4" w:rsidRDefault="004600C4">
      <w:r>
        <w:rPr>
          <w:noProof/>
          <w:lang w:eastAsia="en-GB"/>
        </w:rPr>
        <w:drawing>
          <wp:inline distT="0" distB="0" distL="0" distR="0">
            <wp:extent cx="1905000" cy="1905000"/>
            <wp:effectExtent l="19050" t="0" r="0" b="0"/>
            <wp:docPr id="7" name="Picture 7" descr="http://www.oucs.ox.ac.uk/ww1lit/images/collections/poet-jones.jpg?135166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oucs.ox.ac.uk/ww1lit/images/collections/poet-jones.jpg?135166913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C4" w:rsidRDefault="004600C4">
      <w:pPr>
        <w:rPr>
          <w:rStyle w:val="Strong"/>
        </w:rPr>
      </w:pPr>
      <w:r>
        <w:rPr>
          <w:rStyle w:val="Strong"/>
        </w:rPr>
        <w:t xml:space="preserve">The Royal Welch Fusiliers </w:t>
      </w:r>
      <w:proofErr w:type="spellStart"/>
      <w:r>
        <w:rPr>
          <w:rStyle w:val="Strong"/>
        </w:rPr>
        <w:t>Musuem</w:t>
      </w:r>
      <w:proofErr w:type="spellEnd"/>
      <w:r>
        <w:rPr>
          <w:rStyle w:val="Strong"/>
        </w:rPr>
        <w:t xml:space="preserve"> / </w:t>
      </w:r>
      <w:proofErr w:type="gramStart"/>
      <w:r>
        <w:rPr>
          <w:rStyle w:val="Strong"/>
        </w:rPr>
        <w:t>The</w:t>
      </w:r>
      <w:proofErr w:type="gramEnd"/>
      <w:r>
        <w:rPr>
          <w:rStyle w:val="Strong"/>
        </w:rPr>
        <w:t xml:space="preserve"> David Jones Literary Estate</w:t>
      </w:r>
    </w:p>
    <w:p w:rsidR="006304BB" w:rsidRDefault="0052313E">
      <w:r>
        <w:rPr>
          <w:noProof/>
          <w:lang w:eastAsia="en-GB"/>
        </w:rPr>
        <w:drawing>
          <wp:inline distT="0" distB="0" distL="0" distR="0">
            <wp:extent cx="3448050" cy="4324350"/>
            <wp:effectExtent l="19050" t="0" r="0" b="0"/>
            <wp:docPr id="16" name="Picture 16" descr="http://www.english.txstate.edu/cohen_p/Romantic/Jones%20f/Nam%20Sibyll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english.txstate.edu/cohen_p/Romantic/Jones%20f/Nam%20Sibylla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13E" w:rsidRPr="0052313E" w:rsidRDefault="0052313E">
      <w:r>
        <w:rPr>
          <w:i/>
        </w:rPr>
        <w:t xml:space="preserve">Nam </w:t>
      </w:r>
      <w:proofErr w:type="spellStart"/>
      <w:r>
        <w:rPr>
          <w:i/>
        </w:rPr>
        <w:t>Sybillam</w:t>
      </w:r>
      <w:proofErr w:type="spellEnd"/>
      <w:r>
        <w:t xml:space="preserve"> (1958); opaque watercolour on an under-painting of Chinese white. Reproduced as frontispiece in </w:t>
      </w:r>
      <w:r>
        <w:rPr>
          <w:i/>
        </w:rPr>
        <w:t>Symposium for T.S. Eliot’s Seventieth Birthday</w:t>
      </w:r>
      <w:r>
        <w:t xml:space="preserve"> (1958); Estate of Valerie Eliot</w:t>
      </w:r>
    </w:p>
    <w:p w:rsidR="000B4061" w:rsidRDefault="005469ED">
      <w:r>
        <w:lastRenderedPageBreak/>
        <w:t xml:space="preserve"> </w:t>
      </w:r>
      <w:r w:rsidR="000B4061">
        <w:rPr>
          <w:noProof/>
          <w:lang w:eastAsia="en-GB"/>
        </w:rPr>
        <w:drawing>
          <wp:inline distT="0" distB="0" distL="0" distR="0">
            <wp:extent cx="5731510" cy="7801412"/>
            <wp:effectExtent l="19050" t="0" r="2540" b="0"/>
            <wp:docPr id="13" name="Picture 13" descr="http://www.flashpointmag.com/TrystanFinal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flashpointmag.com/TrystanFinalLar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C4" w:rsidRDefault="000B4061">
      <w:proofErr w:type="spellStart"/>
      <w:r>
        <w:rPr>
          <w:i/>
        </w:rPr>
        <w:lastRenderedPageBreak/>
        <w:t>Trystan</w:t>
      </w:r>
      <w:proofErr w:type="spellEnd"/>
      <w:r>
        <w:rPr>
          <w:i/>
        </w:rPr>
        <w:t xml:space="preserve"> ac </w:t>
      </w:r>
      <w:proofErr w:type="spellStart"/>
      <w:r>
        <w:rPr>
          <w:i/>
        </w:rPr>
        <w:t>Essyllt</w:t>
      </w:r>
      <w:proofErr w:type="spellEnd"/>
      <w:r>
        <w:rPr>
          <w:i/>
        </w:rPr>
        <w:t xml:space="preserve"> </w:t>
      </w:r>
      <w:r>
        <w:t>(1962)</w:t>
      </w:r>
      <w:r w:rsidR="00EA61C4">
        <w:rPr>
          <w:noProof/>
          <w:lang w:eastAsia="en-GB"/>
        </w:rPr>
        <w:drawing>
          <wp:inline distT="0" distB="0" distL="0" distR="0">
            <wp:extent cx="5731510" cy="5982264"/>
            <wp:effectExtent l="19050" t="0" r="2540" b="0"/>
            <wp:docPr id="1" name="Picture 1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C4" w:rsidRDefault="00EA61C4">
      <w:r>
        <w:rPr>
          <w:noProof/>
          <w:lang w:eastAsia="en-GB"/>
        </w:rPr>
        <w:lastRenderedPageBreak/>
        <w:drawing>
          <wp:inline distT="0" distB="0" distL="0" distR="0">
            <wp:extent cx="4886325" cy="5838825"/>
            <wp:effectExtent l="19050" t="0" r="9525" b="0"/>
            <wp:docPr id="4" name="Picture 4" descr="David Jones, ‘The Garden Enclosed’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vid Jones, ‘The Garden Enclosed’ 19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C4" w:rsidRDefault="00EA61C4">
      <w:r>
        <w:t xml:space="preserve">David Jones, </w:t>
      </w:r>
      <w:r>
        <w:rPr>
          <w:i/>
        </w:rPr>
        <w:t>The Garden Enclosed</w:t>
      </w:r>
      <w:r>
        <w:t xml:space="preserve"> (1924), oil paint on wood; Tate Britain (Presented by the Trustees of the </w:t>
      </w:r>
      <w:proofErr w:type="spellStart"/>
      <w:r>
        <w:t>Chantry</w:t>
      </w:r>
      <w:proofErr w:type="spellEnd"/>
      <w:r>
        <w:t xml:space="preserve"> Bequest, 1975); </w:t>
      </w:r>
      <w:hyperlink r:id="rId9" w:history="1">
        <w:r w:rsidRPr="00C75160">
          <w:rPr>
            <w:rStyle w:val="Hyperlink"/>
          </w:rPr>
          <w:t>http://www.tate.org.uk/art/artworks/jones-the-garden-enclosed-t02013</w:t>
        </w:r>
      </w:hyperlink>
      <w:r>
        <w:t xml:space="preserve"> </w:t>
      </w:r>
    </w:p>
    <w:p w:rsidR="00EA61C4" w:rsidRPr="00EA61C4" w:rsidRDefault="00EA61C4">
      <w:pPr>
        <w:rPr>
          <w:i/>
        </w:rPr>
      </w:pPr>
      <w:proofErr w:type="gramStart"/>
      <w:r>
        <w:t>caption</w:t>
      </w:r>
      <w:proofErr w:type="gramEnd"/>
      <w:r>
        <w:t xml:space="preserve">: </w:t>
      </w:r>
      <w:r>
        <w:rPr>
          <w:i/>
        </w:rPr>
        <w:t>the two figures to the right of this scene represent the artist and  Eric Gill’s daughter, Petra to whom Jones was briefly engaged and would paint and draw several times.</w:t>
      </w:r>
    </w:p>
    <w:sectPr w:rsidR="00EA61C4" w:rsidRPr="00EA61C4" w:rsidSect="007D0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EA61C4"/>
    <w:rsid w:val="000B4061"/>
    <w:rsid w:val="00142313"/>
    <w:rsid w:val="004600C4"/>
    <w:rsid w:val="0052313E"/>
    <w:rsid w:val="005469ED"/>
    <w:rsid w:val="005B5BAB"/>
    <w:rsid w:val="006304BB"/>
    <w:rsid w:val="00635FFB"/>
    <w:rsid w:val="0068399B"/>
    <w:rsid w:val="007D06BC"/>
    <w:rsid w:val="009C07EB"/>
    <w:rsid w:val="00B25740"/>
    <w:rsid w:val="00B57168"/>
    <w:rsid w:val="00EA61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06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1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61C4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600C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://www.tate.org.uk/art/artworks/jones-the-garden-enclosed-t020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5114</TotalTime>
  <Pages>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</dc:creator>
  <cp:lastModifiedBy>Rob</cp:lastModifiedBy>
  <cp:revision>2</cp:revision>
  <dcterms:created xsi:type="dcterms:W3CDTF">2013-07-28T16:36:00Z</dcterms:created>
  <dcterms:modified xsi:type="dcterms:W3CDTF">2013-08-03T07:18:00Z</dcterms:modified>
</cp:coreProperties>
</file>