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B2E2F0" w14:textId="77777777" w:rsidTr="00922950">
        <w:tc>
          <w:tcPr>
            <w:tcW w:w="491" w:type="dxa"/>
            <w:vMerge w:val="restart"/>
            <w:shd w:val="clear" w:color="auto" w:fill="A6A6A6" w:themeFill="background1" w:themeFillShade="A6"/>
            <w:textDirection w:val="btLr"/>
          </w:tcPr>
          <w:p w14:paraId="5425B2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4F93D57CA8A047BBF84B49A34E7D2C"/>
            </w:placeholder>
            <w:showingPlcHdr/>
            <w:dropDownList>
              <w:listItem w:displayText="Dr." w:value="Dr."/>
              <w:listItem w:displayText="Prof." w:value="Prof."/>
            </w:dropDownList>
          </w:sdtPr>
          <w:sdtEndPr/>
          <w:sdtContent>
            <w:tc>
              <w:tcPr>
                <w:tcW w:w="1259" w:type="dxa"/>
              </w:tcPr>
              <w:p w14:paraId="45333E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B24FAC6E0A064BA9B167EBE4BE7EA3"/>
            </w:placeholder>
            <w:text/>
          </w:sdtPr>
          <w:sdtEndPr/>
          <w:sdtContent>
            <w:tc>
              <w:tcPr>
                <w:tcW w:w="2073" w:type="dxa"/>
              </w:tcPr>
              <w:p w14:paraId="59E0508A" w14:textId="77777777" w:rsidR="00B574C9" w:rsidRDefault="00995544" w:rsidP="00995544">
                <w:r>
                  <w:t>Burke</w:t>
                </w:r>
              </w:p>
            </w:tc>
          </w:sdtContent>
        </w:sdt>
        <w:sdt>
          <w:sdtPr>
            <w:alias w:val="Middle name"/>
            <w:tag w:val="authorMiddleName"/>
            <w:id w:val="-2076034781"/>
            <w:placeholder>
              <w:docPart w:val="0E9081FD4348B34FAAD1CB9A4550797F"/>
            </w:placeholder>
            <w:showingPlcHdr/>
            <w:text/>
          </w:sdtPr>
          <w:sdtEndPr/>
          <w:sdtContent>
            <w:tc>
              <w:tcPr>
                <w:tcW w:w="2551" w:type="dxa"/>
              </w:tcPr>
              <w:p w14:paraId="0D7E937B" w14:textId="77777777" w:rsidR="00B574C9" w:rsidRDefault="00B574C9" w:rsidP="00922950">
                <w:r>
                  <w:rPr>
                    <w:rStyle w:val="PlaceholderText"/>
                  </w:rPr>
                  <w:t>[Middle name]</w:t>
                </w:r>
              </w:p>
            </w:tc>
          </w:sdtContent>
        </w:sdt>
        <w:sdt>
          <w:sdtPr>
            <w:alias w:val="Last name"/>
            <w:tag w:val="authorLastName"/>
            <w:id w:val="-1088529830"/>
            <w:placeholder>
              <w:docPart w:val="C1DA6820B676D541B678BE53370B6711"/>
            </w:placeholder>
            <w:text/>
          </w:sdtPr>
          <w:sdtEndPr/>
          <w:sdtContent>
            <w:tc>
              <w:tcPr>
                <w:tcW w:w="2642" w:type="dxa"/>
              </w:tcPr>
              <w:p w14:paraId="4BEC84E3" w14:textId="77777777" w:rsidR="00B574C9" w:rsidRDefault="00995544" w:rsidP="00995544">
                <w:proofErr w:type="spellStart"/>
                <w:r w:rsidRPr="00B5026F">
                  <w:rPr>
                    <w:lang w:eastAsia="ja-JP"/>
                  </w:rPr>
                  <w:t>Hilsabeck</w:t>
                </w:r>
                <w:proofErr w:type="spellEnd"/>
              </w:p>
            </w:tc>
          </w:sdtContent>
        </w:sdt>
      </w:tr>
      <w:tr w:rsidR="00B574C9" w14:paraId="5F6FD423" w14:textId="77777777" w:rsidTr="001A6A06">
        <w:trPr>
          <w:trHeight w:val="986"/>
        </w:trPr>
        <w:tc>
          <w:tcPr>
            <w:tcW w:w="491" w:type="dxa"/>
            <w:vMerge/>
            <w:shd w:val="clear" w:color="auto" w:fill="A6A6A6" w:themeFill="background1" w:themeFillShade="A6"/>
          </w:tcPr>
          <w:p w14:paraId="28B8EF4D" w14:textId="77777777" w:rsidR="00B574C9" w:rsidRPr="001A6A06" w:rsidRDefault="00B574C9" w:rsidP="00CF1542">
            <w:pPr>
              <w:jc w:val="center"/>
              <w:rPr>
                <w:b/>
                <w:color w:val="FFFFFF" w:themeColor="background1"/>
              </w:rPr>
            </w:pPr>
          </w:p>
        </w:tc>
        <w:sdt>
          <w:sdtPr>
            <w:alias w:val="Biography"/>
            <w:tag w:val="authorBiography"/>
            <w:id w:val="938807824"/>
            <w:placeholder>
              <w:docPart w:val="5530E3BE8C013C46A11A002C1E2EF7E2"/>
            </w:placeholder>
            <w:showingPlcHdr/>
          </w:sdtPr>
          <w:sdtEndPr/>
          <w:sdtContent>
            <w:tc>
              <w:tcPr>
                <w:tcW w:w="8525" w:type="dxa"/>
                <w:gridSpan w:val="4"/>
              </w:tcPr>
              <w:p w14:paraId="59C115D8" w14:textId="77777777" w:rsidR="00B574C9" w:rsidRDefault="00B574C9" w:rsidP="00922950">
                <w:r>
                  <w:rPr>
                    <w:rStyle w:val="PlaceholderText"/>
                  </w:rPr>
                  <w:t>[Enter your biography]</w:t>
                </w:r>
              </w:p>
            </w:tc>
          </w:sdtContent>
        </w:sdt>
      </w:tr>
      <w:tr w:rsidR="00B574C9" w14:paraId="01AD9428" w14:textId="77777777" w:rsidTr="001A6A06">
        <w:trPr>
          <w:trHeight w:val="986"/>
        </w:trPr>
        <w:tc>
          <w:tcPr>
            <w:tcW w:w="491" w:type="dxa"/>
            <w:vMerge/>
            <w:shd w:val="clear" w:color="auto" w:fill="A6A6A6" w:themeFill="background1" w:themeFillShade="A6"/>
          </w:tcPr>
          <w:p w14:paraId="602A264B" w14:textId="77777777" w:rsidR="00B574C9" w:rsidRPr="001A6A06" w:rsidRDefault="00B574C9" w:rsidP="00CF1542">
            <w:pPr>
              <w:jc w:val="center"/>
              <w:rPr>
                <w:b/>
                <w:color w:val="FFFFFF" w:themeColor="background1"/>
              </w:rPr>
            </w:pPr>
          </w:p>
        </w:tc>
        <w:sdt>
          <w:sdtPr>
            <w:alias w:val="Affiliation"/>
            <w:tag w:val="affiliation"/>
            <w:id w:val="2012937915"/>
            <w:placeholder>
              <w:docPart w:val="0C3FD42767AD9A4B9DC021E7BC620769"/>
            </w:placeholder>
            <w:text/>
          </w:sdtPr>
          <w:sdtEndPr/>
          <w:sdtContent>
            <w:tc>
              <w:tcPr>
                <w:tcW w:w="8525" w:type="dxa"/>
                <w:gridSpan w:val="4"/>
              </w:tcPr>
              <w:p w14:paraId="4C0BF472" w14:textId="7F7BDD41" w:rsidR="00B574C9" w:rsidRDefault="00777DF8" w:rsidP="00777DF8">
                <w:r>
                  <w:t>Oberlin College</w:t>
                </w:r>
              </w:p>
            </w:tc>
          </w:sdtContent>
        </w:sdt>
      </w:tr>
    </w:tbl>
    <w:p w14:paraId="7B1974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C2BD4F" w14:textId="77777777" w:rsidTr="00244BB0">
        <w:tc>
          <w:tcPr>
            <w:tcW w:w="9016" w:type="dxa"/>
            <w:shd w:val="clear" w:color="auto" w:fill="A6A6A6" w:themeFill="background1" w:themeFillShade="A6"/>
            <w:tcMar>
              <w:top w:w="113" w:type="dxa"/>
              <w:bottom w:w="113" w:type="dxa"/>
            </w:tcMar>
          </w:tcPr>
          <w:p w14:paraId="1AA01E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9B237E" w14:textId="77777777" w:rsidTr="003F0D73">
        <w:sdt>
          <w:sdtPr>
            <w:alias w:val="Article headword"/>
            <w:tag w:val="articleHeadword"/>
            <w:id w:val="-361440020"/>
            <w:placeholder>
              <w:docPart w:val="841C6A491FB38745B0EAED71ED813BE7"/>
            </w:placeholder>
            <w:text/>
          </w:sdtPr>
          <w:sdtEndPr/>
          <w:sdtContent>
            <w:tc>
              <w:tcPr>
                <w:tcW w:w="9016" w:type="dxa"/>
                <w:tcMar>
                  <w:top w:w="113" w:type="dxa"/>
                  <w:bottom w:w="113" w:type="dxa"/>
                </w:tcMar>
              </w:tcPr>
              <w:p w14:paraId="48E53E7D" w14:textId="74F693C8" w:rsidR="003F0D73" w:rsidRPr="00995544" w:rsidRDefault="00995544" w:rsidP="00995544">
                <w:pPr>
                  <w:rPr>
                    <w:b/>
                  </w:rPr>
                </w:pPr>
                <w:r w:rsidRPr="000D479A">
                  <w:t xml:space="preserve">Keaton, </w:t>
                </w:r>
                <w:r w:rsidRPr="000D479A">
                  <w:rPr>
                    <w:lang w:eastAsia="ja-JP"/>
                  </w:rPr>
                  <w:t>Joseph Frank (</w:t>
                </w:r>
                <w:r w:rsidR="000D479A" w:rsidRPr="000D479A">
                  <w:rPr>
                    <w:lang w:eastAsia="ja-JP"/>
                  </w:rPr>
                  <w:t>‘</w:t>
                </w:r>
                <w:r w:rsidRPr="000D479A">
                  <w:rPr>
                    <w:lang w:eastAsia="ja-JP"/>
                  </w:rPr>
                  <w:t>Buster</w:t>
                </w:r>
                <w:r w:rsidR="000D479A" w:rsidRPr="000D479A">
                  <w:rPr>
                    <w:lang w:eastAsia="ja-JP"/>
                  </w:rPr>
                  <w:t>’) (1895-</w:t>
                </w:r>
                <w:r w:rsidRPr="000D479A">
                  <w:rPr>
                    <w:lang w:eastAsia="ja-JP"/>
                  </w:rPr>
                  <w:t>1966)</w:t>
                </w:r>
              </w:p>
            </w:tc>
          </w:sdtContent>
        </w:sdt>
      </w:tr>
      <w:tr w:rsidR="00464699" w14:paraId="0EBCB21A" w14:textId="77777777" w:rsidTr="00C174AF">
        <w:sdt>
          <w:sdtPr>
            <w:alias w:val="Variant headwords"/>
            <w:tag w:val="variantHeadwords"/>
            <w:id w:val="173464402"/>
            <w:placeholder>
              <w:docPart w:val="A98782777027ED4282AFDDC1F15DE924"/>
            </w:placeholder>
            <w:showingPlcHdr/>
          </w:sdtPr>
          <w:sdtEndPr/>
          <w:sdtContent>
            <w:tc>
              <w:tcPr>
                <w:tcW w:w="9016" w:type="dxa"/>
                <w:tcMar>
                  <w:top w:w="113" w:type="dxa"/>
                  <w:bottom w:w="113" w:type="dxa"/>
                </w:tcMar>
              </w:tcPr>
              <w:p w14:paraId="63AD69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08D88A" w14:textId="77777777" w:rsidTr="003F0D73">
        <w:sdt>
          <w:sdtPr>
            <w:alias w:val="Abstract"/>
            <w:tag w:val="abstract"/>
            <w:id w:val="-635871867"/>
            <w:placeholder>
              <w:docPart w:val="48D756CEE780A148B20E5CA184415E53"/>
            </w:placeholder>
          </w:sdtPr>
          <w:sdtEndPr/>
          <w:sdtContent>
            <w:tc>
              <w:tcPr>
                <w:tcW w:w="9016" w:type="dxa"/>
                <w:tcMar>
                  <w:top w:w="113" w:type="dxa"/>
                  <w:bottom w:w="113" w:type="dxa"/>
                </w:tcMar>
              </w:tcPr>
              <w:p w14:paraId="5A90DCAD" w14:textId="77777777" w:rsidR="000D479A" w:rsidRDefault="00C174AF" w:rsidP="00E85A05">
                <w:r>
                  <w:t>American filmmaker and comedian Joseph Frank (</w:t>
                </w:r>
                <w:r w:rsidR="000D479A">
                  <w:t>‘</w:t>
                </w:r>
                <w:r>
                  <w:t>Buster</w:t>
                </w:r>
                <w:r w:rsidR="000D479A">
                  <w:t>’</w:t>
                </w:r>
                <w:r>
                  <w:t xml:space="preserve">) Keaton was born in Piqua, Kansas, while his mother and father were touring as variety performers. Keaton joined their act at the age of four, serving as the primary recipient of his father’s stage violence. In 1917, Keaton forfeited the luxurious salary of $250 a week on the stage in order to work in film with the comedian Roscoe </w:t>
                </w:r>
                <w:r w:rsidR="000D479A">
                  <w:t>‘</w:t>
                </w:r>
                <w:r>
                  <w:t>Fatty</w:t>
                </w:r>
                <w:r w:rsidR="000D479A">
                  <w:t>’</w:t>
                </w:r>
                <w:r>
                  <w:t xml:space="preserve"> Arbuckle. Keaton struck out on his own in 1920, and </w:t>
                </w:r>
                <w:proofErr w:type="gramStart"/>
                <w:r>
                  <w:t>proceeded</w:t>
                </w:r>
                <w:proofErr w:type="gramEnd"/>
                <w:r>
                  <w:t xml:space="preserve"> to direct and star in a series of short and feature-length films, many of which constitute major achievements of the silent era. </w:t>
                </w:r>
              </w:p>
              <w:p w14:paraId="42D5B973" w14:textId="77777777" w:rsidR="000D479A" w:rsidRDefault="000D479A" w:rsidP="00E85A05"/>
              <w:p w14:paraId="78093A27" w14:textId="643921A9" w:rsidR="00E85A05" w:rsidRDefault="000D479A" w:rsidP="000D479A">
                <w:r>
                  <w:t xml:space="preserve">When his distributor experienced financial troubles in the late 1920s, Keaton signed with Metro-Goldwyn-Mayer (MGM), for whom he starred in the memorable </w:t>
                </w:r>
                <w:r>
                  <w:rPr>
                    <w:i/>
                  </w:rPr>
                  <w:t xml:space="preserve">The </w:t>
                </w:r>
                <w:r w:rsidRPr="00B36240">
                  <w:rPr>
                    <w:i/>
                  </w:rPr>
                  <w:t>Cameraman</w:t>
                </w:r>
                <w:r>
                  <w:t xml:space="preserve"> (1928). His contract with MGM, however, signalled an end to the creative autonomy that he had enjoyed as an independent and — with the rise of synchronised sound in the late 1920s — Keaton’s career took a serious tumble. For MGM, he would write gags for the Marx Brothers and star in a series of features with Jimmy Durante, but he never again produced the beautiful pantomimic films for which he is justly remembered.  </w:t>
                </w:r>
              </w:p>
            </w:tc>
          </w:sdtContent>
        </w:sdt>
      </w:tr>
      <w:tr w:rsidR="003F0D73" w14:paraId="00FAF9DE" w14:textId="77777777" w:rsidTr="003F0D73">
        <w:sdt>
          <w:sdtPr>
            <w:alias w:val="Article text"/>
            <w:tag w:val="articleText"/>
            <w:id w:val="634067588"/>
            <w:placeholder>
              <w:docPart w:val="26212F42500CF84F8024D22DBACB619D"/>
            </w:placeholder>
          </w:sdtPr>
          <w:sdtEndPr/>
          <w:sdtContent>
            <w:tc>
              <w:tcPr>
                <w:tcW w:w="9016" w:type="dxa"/>
                <w:tcMar>
                  <w:top w:w="113" w:type="dxa"/>
                  <w:bottom w:w="113" w:type="dxa"/>
                </w:tcMar>
              </w:tcPr>
              <w:p w14:paraId="66A74416" w14:textId="4F885DEC" w:rsidR="000D479A" w:rsidRDefault="000D479A" w:rsidP="000D479A">
                <w:r>
                  <w:t xml:space="preserve">American filmmaker and comedian Joseph Frank (‘Buster’) Keaton was born in Piqua, Kansas, while his mother and father were touring as variety performers. Keaton joined their act at the age of four, serving as the primary recipient of his father’s stage violence. In 1917, Keaton forfeited the luxurious salary of $250 a week on the stage in order to work in film with the comedian Roscoe ‘Fatty’ Arbuckle. Keaton struck out on his own in 1920, and </w:t>
                </w:r>
                <w:proofErr w:type="gramStart"/>
                <w:r>
                  <w:t>proceeded</w:t>
                </w:r>
                <w:proofErr w:type="gramEnd"/>
                <w:r>
                  <w:t xml:space="preserve"> to direct and star in a series of short and feature-length films, many of which constitute major achievements of the silent era. </w:t>
                </w:r>
              </w:p>
              <w:p w14:paraId="39EBF09C" w14:textId="77777777" w:rsidR="000D479A" w:rsidRDefault="000D479A" w:rsidP="000D479A"/>
              <w:p w14:paraId="200BF5A4" w14:textId="1A32829C" w:rsidR="00C174AF" w:rsidRDefault="000D479A" w:rsidP="000D479A">
                <w:r>
                  <w:t xml:space="preserve">When his distributor experienced financial troubles in the late 1920s, Keaton signed with Metro-Goldwyn-Mayer (MGM), for whom he starred in the memorable </w:t>
                </w:r>
                <w:r>
                  <w:rPr>
                    <w:i/>
                  </w:rPr>
                  <w:t xml:space="preserve">The </w:t>
                </w:r>
                <w:r w:rsidRPr="00B36240">
                  <w:rPr>
                    <w:i/>
                  </w:rPr>
                  <w:t>Cameraman</w:t>
                </w:r>
                <w:r>
                  <w:t xml:space="preserve"> (1928). His contract with MGM, however, signalled an end to the creative autonomy that he had enjoyed as an independent and — with the rise of synchronised sound in the late 1920s — Keaton’s career took a serious tumble. For MGM, he would write gags for the Marx Brothers and star in a series of features with Jimmy Durante, but he never again produced the beautiful pantomimic films for which he is justly remembered.  </w:t>
                </w:r>
              </w:p>
              <w:p w14:paraId="3D87FA34" w14:textId="77777777" w:rsidR="000D479A" w:rsidRDefault="000D479A" w:rsidP="000D479A"/>
              <w:p w14:paraId="05DB5698" w14:textId="77777777" w:rsidR="00C174AF" w:rsidRPr="00F802FF" w:rsidRDefault="00C174AF" w:rsidP="00777DF8">
                <w:r>
                  <w:t>Keaton’s independently produced films are notable for their interest in the relationship between human beings and the built environment. He structured many of his feature films by means of an extended conflict between Buster and a single machine, such as an ocean liner (</w:t>
                </w:r>
                <w:r>
                  <w:rPr>
                    <w:i/>
                  </w:rPr>
                  <w:t>The Navigator</w:t>
                </w:r>
                <w:r>
                  <w:t xml:space="preserve">, </w:t>
                </w:r>
                <w:r>
                  <w:lastRenderedPageBreak/>
                  <w:t>1924), a locomotive (</w:t>
                </w:r>
                <w:r>
                  <w:rPr>
                    <w:i/>
                  </w:rPr>
                  <w:t>The General</w:t>
                </w:r>
                <w:r>
                  <w:t>, 1926), or a riverboat (</w:t>
                </w:r>
                <w:r>
                  <w:rPr>
                    <w:i/>
                  </w:rPr>
                  <w:t>Steamboat Bill, Jr.</w:t>
                </w:r>
                <w:r>
                  <w:t xml:space="preserve">, 1928). Keaton’s interest in machines extended to the film apparatus itself, the subject of both the truncated feature </w:t>
                </w:r>
                <w:r>
                  <w:rPr>
                    <w:i/>
                  </w:rPr>
                  <w:t xml:space="preserve">Sherlock Jr. </w:t>
                </w:r>
                <w:r>
                  <w:t xml:space="preserve">(1925) and </w:t>
                </w:r>
                <w:r>
                  <w:rPr>
                    <w:i/>
                  </w:rPr>
                  <w:t>The Cameraman</w:t>
                </w:r>
                <w:r>
                  <w:t xml:space="preserve">. In this sense, Keaton’s work can be understood in terms of Miriam Hansen’s concept of vernacular modernism: the idea that Hollywood films of the studio era constituted an aesthetic form that engaged with new modes of sensory perception, new experiences of time and feeling, and a changed relationship to the world of objects. </w:t>
                </w:r>
              </w:p>
              <w:p w14:paraId="4A95B9AB" w14:textId="77777777" w:rsidR="00C174AF" w:rsidRDefault="00C174AF" w:rsidP="00777DF8"/>
              <w:p w14:paraId="6D00B4A7" w14:textId="7FD75FEB" w:rsidR="00C174AF" w:rsidRDefault="00C174AF" w:rsidP="00777DF8">
                <w:r>
                  <w:t xml:space="preserve">Keaton’s work was of interest to various members of the European avant-garde, including Salvador Dali, Federico Garcia Lorca, Antonin </w:t>
                </w:r>
                <w:proofErr w:type="spellStart"/>
                <w:r>
                  <w:t>Artaud</w:t>
                </w:r>
                <w:proofErr w:type="spellEnd"/>
                <w:r>
                  <w:t xml:space="preserve">, Samuel Beckett, and Luis </w:t>
                </w:r>
                <w:r w:rsidRPr="003421A3">
                  <w:t>Bu</w:t>
                </w:r>
                <w:r w:rsidRPr="003421A3">
                  <w:rPr>
                    <w:color w:val="000000"/>
                  </w:rPr>
                  <w:t>ñ</w:t>
                </w:r>
                <w:r>
                  <w:t xml:space="preserve">uel. For </w:t>
                </w:r>
                <w:r w:rsidRPr="003421A3">
                  <w:t>Bu</w:t>
                </w:r>
                <w:r w:rsidRPr="003421A3">
                  <w:rPr>
                    <w:color w:val="000000"/>
                  </w:rPr>
                  <w:t>ñ</w:t>
                </w:r>
                <w:r>
                  <w:t xml:space="preserve">uel, Keaton’s work was exemplary in its decentring of human psychology and its foregrounding of the automatic behaviours of both persons and objects. In a review of </w:t>
                </w:r>
                <w:r>
                  <w:rPr>
                    <w:i/>
                  </w:rPr>
                  <w:t xml:space="preserve">College </w:t>
                </w:r>
                <w:r>
                  <w:t xml:space="preserve">(1927), for instance, </w:t>
                </w:r>
                <w:r w:rsidRPr="003421A3">
                  <w:t>Bu</w:t>
                </w:r>
                <w:r w:rsidRPr="003421A3">
                  <w:rPr>
                    <w:color w:val="000000"/>
                  </w:rPr>
                  <w:t>ñ</w:t>
                </w:r>
                <w:r>
                  <w:t xml:space="preserve">uel wrote that Keaton was </w:t>
                </w:r>
                <w:r w:rsidR="000D479A">
                  <w:t>‘</w:t>
                </w:r>
                <w:r>
                  <w:t>the great specialist in fighting sentimental infections of all kinds,</w:t>
                </w:r>
                <w:r w:rsidR="000D479A">
                  <w:t>’</w:t>
                </w:r>
                <w:r>
                  <w:t xml:space="preserve"> explaining that his </w:t>
                </w:r>
                <w:r w:rsidR="000D479A">
                  <w:t>‘</w:t>
                </w:r>
                <w:r>
                  <w:t>expressions are as modest as, for example, a bottle’s; the dance floor of his pupils is round and clear, but there his</w:t>
                </w:r>
                <w:r w:rsidR="0026396D">
                  <w:t xml:space="preserve"> aseptic spirit does pirouettes</w:t>
                </w:r>
                <w:r w:rsidR="000D479A">
                  <w:t>’</w:t>
                </w:r>
                <w:r w:rsidR="0026396D">
                  <w:t xml:space="preserve"> (Buñuel 110).</w:t>
                </w:r>
                <w:r>
                  <w:t xml:space="preserve"> Pronouncements like </w:t>
                </w:r>
                <w:r w:rsidRPr="003421A3">
                  <w:t>Bu</w:t>
                </w:r>
                <w:r w:rsidRPr="003421A3">
                  <w:rPr>
                    <w:color w:val="000000"/>
                  </w:rPr>
                  <w:t>ñ</w:t>
                </w:r>
                <w:r w:rsidRPr="003421A3">
                  <w:t>uel’s</w:t>
                </w:r>
                <w:r>
                  <w:t xml:space="preserve"> hint at the complex reception of Keaton’s work. That a single filmmaker’s work might be located firmly within the tradition of the classical Hollywood cinema and at the same time appeal to members of the avant-garde represents significant success in its bridging of high and popular culture.  </w:t>
                </w:r>
              </w:p>
              <w:p w14:paraId="4DE3F728" w14:textId="77777777" w:rsidR="00777DF8" w:rsidRDefault="00777DF8" w:rsidP="00777DF8"/>
              <w:p w14:paraId="0BEC2F1D" w14:textId="77777777" w:rsidR="00777DF8" w:rsidRPr="001B2FCD" w:rsidRDefault="00777DF8" w:rsidP="00777DF8">
                <w:r>
                  <w:t xml:space="preserve">Link: </w:t>
                </w:r>
                <w:r>
                  <w:rPr>
                    <w:i/>
                  </w:rPr>
                  <w:t>Cops</w:t>
                </w:r>
                <w:r>
                  <w:t xml:space="preserve"> (Keaton, 1922)</w:t>
                </w:r>
              </w:p>
              <w:p w14:paraId="7ED81D6F" w14:textId="77777777" w:rsidR="00777DF8" w:rsidRDefault="0026396D" w:rsidP="00777DF8">
                <w:hyperlink r:id="rId9" w:history="1">
                  <w:r w:rsidR="00777DF8" w:rsidRPr="00A73661">
                    <w:rPr>
                      <w:rStyle w:val="Hyperlink"/>
                      <w:rFonts w:ascii="Times" w:hAnsi="Times"/>
                    </w:rPr>
                    <w:t>https://archive.org/details/Cops1922</w:t>
                  </w:r>
                </w:hyperlink>
              </w:p>
              <w:p w14:paraId="314C5E9E" w14:textId="77777777" w:rsidR="00777DF8" w:rsidRDefault="00777DF8" w:rsidP="00777DF8"/>
              <w:p w14:paraId="6D0470E1" w14:textId="501DFFFD" w:rsidR="00777DF8" w:rsidRDefault="00777DF8" w:rsidP="00777DF8">
                <w:r>
                  <w:t xml:space="preserve">Link 3: ‘The Three </w:t>
                </w:r>
                <w:proofErr w:type="spellStart"/>
                <w:r>
                  <w:t>Keatons</w:t>
                </w:r>
                <w:proofErr w:type="spellEnd"/>
                <w:r>
                  <w:t>’</w:t>
                </w:r>
              </w:p>
              <w:p w14:paraId="5E6B4F4A" w14:textId="77777777" w:rsidR="00777DF8" w:rsidRDefault="0026396D" w:rsidP="00777DF8">
                <w:hyperlink r:id="rId10" w:history="1">
                  <w:r w:rsidR="00777DF8" w:rsidRPr="00A73661">
                    <w:rPr>
                      <w:rStyle w:val="Hyperlink"/>
                      <w:rFonts w:ascii="Times" w:hAnsi="Times"/>
                    </w:rPr>
                    <w:t>http://en.wikipedia.org/wiki/File:Threekeatons.jpg</w:t>
                  </w:r>
                </w:hyperlink>
              </w:p>
              <w:p w14:paraId="527C85E1" w14:textId="0E28E67A" w:rsidR="00777DF8" w:rsidRPr="00B47E6C" w:rsidRDefault="00777DF8" w:rsidP="00777DF8"/>
              <w:p w14:paraId="777B96F5" w14:textId="77777777" w:rsidR="00777DF8" w:rsidRDefault="00777DF8" w:rsidP="00777DF8">
                <w:r>
                  <w:t>Link 4: Buster Keaton, full-length portrait (</w:t>
                </w:r>
                <w:proofErr w:type="spellStart"/>
                <w:r>
                  <w:t>LoC</w:t>
                </w:r>
                <w:proofErr w:type="spellEnd"/>
                <w:r>
                  <w:t>)</w:t>
                </w:r>
              </w:p>
              <w:p w14:paraId="6C29B1F2" w14:textId="5B5B2A1E" w:rsidR="00777DF8" w:rsidRDefault="0026396D" w:rsidP="00777DF8">
                <w:hyperlink r:id="rId11" w:history="1">
                  <w:r w:rsidR="00777DF8" w:rsidRPr="00A73661">
                    <w:rPr>
                      <w:rStyle w:val="Hyperlink"/>
                      <w:rFonts w:ascii="Times" w:hAnsi="Times"/>
                    </w:rPr>
                    <w:t>http://www.loc.gov/pictures/resource/cph.3c26201/</w:t>
                  </w:r>
                </w:hyperlink>
              </w:p>
              <w:p w14:paraId="4F1F5B36" w14:textId="77777777" w:rsidR="003F0D73" w:rsidRDefault="003F0D73" w:rsidP="00777DF8"/>
            </w:tc>
          </w:sdtContent>
        </w:sdt>
      </w:tr>
      <w:tr w:rsidR="003235A7" w14:paraId="56929399" w14:textId="77777777" w:rsidTr="003235A7">
        <w:tc>
          <w:tcPr>
            <w:tcW w:w="9016" w:type="dxa"/>
          </w:tcPr>
          <w:p w14:paraId="375065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81C66507A91B047A7780434B1887252"/>
              </w:placeholder>
            </w:sdtPr>
            <w:sdtEndPr/>
            <w:sdtContent>
              <w:p w14:paraId="7AEAA7B2" w14:textId="2A0029BB" w:rsidR="0026396D" w:rsidRDefault="0026396D" w:rsidP="002C1298">
                <w:sdt>
                  <w:sdtPr>
                    <w:id w:val="1357080573"/>
                    <w:citation/>
                  </w:sdtPr>
                  <w:sdtContent>
                    <w:r>
                      <w:fldChar w:fldCharType="begin"/>
                    </w:r>
                    <w:r>
                      <w:rPr>
                        <w:lang w:val="en-US"/>
                      </w:rPr>
                      <w:instrText xml:space="preserve"> CITATION Buñ02 \l 1033 </w:instrText>
                    </w:r>
                    <w:r>
                      <w:fldChar w:fldCharType="separate"/>
                    </w:r>
                    <w:r>
                      <w:rPr>
                        <w:noProof/>
                        <w:lang w:val="en-US"/>
                      </w:rPr>
                      <w:t xml:space="preserve"> (Buñuel)</w:t>
                    </w:r>
                    <w:r>
                      <w:fldChar w:fldCharType="end"/>
                    </w:r>
                  </w:sdtContent>
                </w:sdt>
              </w:p>
              <w:p w14:paraId="6622748C" w14:textId="77777777" w:rsidR="0026396D" w:rsidRDefault="0026396D" w:rsidP="002C1298"/>
              <w:p w14:paraId="2254E35D" w14:textId="1730515A" w:rsidR="002C1298" w:rsidRDefault="0026396D" w:rsidP="002C1298">
                <w:sdt>
                  <w:sdtPr>
                    <w:id w:val="-161472985"/>
                    <w:citation/>
                  </w:sdtPr>
                  <w:sdtEndPr/>
                  <w:sdtContent>
                    <w:r w:rsidR="002C1298">
                      <w:fldChar w:fldCharType="begin"/>
                    </w:r>
                    <w:r w:rsidR="002C1298">
                      <w:rPr>
                        <w:lang w:val="en-US"/>
                      </w:rPr>
                      <w:instrText xml:space="preserve"> CITATION Car09 \l 1033 </w:instrText>
                    </w:r>
                    <w:r w:rsidR="002C1298">
                      <w:fldChar w:fldCharType="separate"/>
                    </w:r>
                    <w:r w:rsidR="002C1298">
                      <w:rPr>
                        <w:noProof/>
                        <w:lang w:val="en-US"/>
                      </w:rPr>
                      <w:t xml:space="preserve"> (Carroll)</w:t>
                    </w:r>
                    <w:r w:rsidR="002C1298">
                      <w:fldChar w:fldCharType="end"/>
                    </w:r>
                  </w:sdtContent>
                </w:sdt>
              </w:p>
              <w:p w14:paraId="0018347F" w14:textId="77777777" w:rsidR="000D479A" w:rsidRDefault="000D479A" w:rsidP="002C1298"/>
              <w:p w14:paraId="2DA31F82" w14:textId="77777777" w:rsidR="002C1298" w:rsidRDefault="0026396D" w:rsidP="002C1298">
                <w:sdt>
                  <w:sdtPr>
                    <w:id w:val="-1342619669"/>
                    <w:citation/>
                  </w:sdtPr>
                  <w:sdtEndPr/>
                  <w:sdtContent>
                    <w:r w:rsidR="002C1298">
                      <w:fldChar w:fldCharType="begin"/>
                    </w:r>
                    <w:r w:rsidR="002C1298">
                      <w:rPr>
                        <w:lang w:val="en-US"/>
                      </w:rPr>
                      <w:instrText xml:space="preserve"> CITATION Dar79 \l 1033 </w:instrText>
                    </w:r>
                    <w:r w:rsidR="002C1298">
                      <w:fldChar w:fldCharType="separate"/>
                    </w:r>
                    <w:r w:rsidR="002C1298">
                      <w:rPr>
                        <w:noProof/>
                        <w:lang w:val="en-US"/>
                      </w:rPr>
                      <w:t>(Dardis)</w:t>
                    </w:r>
                    <w:r w:rsidR="002C1298">
                      <w:fldChar w:fldCharType="end"/>
                    </w:r>
                  </w:sdtContent>
                </w:sdt>
              </w:p>
              <w:p w14:paraId="3E21867B" w14:textId="77777777" w:rsidR="000D479A" w:rsidRDefault="000D479A" w:rsidP="002C1298"/>
              <w:p w14:paraId="65FC84F5" w14:textId="77777777" w:rsidR="002C1298" w:rsidRDefault="0026396D" w:rsidP="002C1298">
                <w:sdt>
                  <w:sdtPr>
                    <w:id w:val="1217772934"/>
                    <w:citation/>
                  </w:sdtPr>
                  <w:sdtEndPr/>
                  <w:sdtContent>
                    <w:r w:rsidR="002C1298">
                      <w:fldChar w:fldCharType="begin"/>
                    </w:r>
                    <w:r w:rsidR="002C1298">
                      <w:rPr>
                        <w:lang w:val="en-US"/>
                      </w:rPr>
                      <w:instrText xml:space="preserve"> CITATION Gun95 \l 1033 </w:instrText>
                    </w:r>
                    <w:r w:rsidR="002C1298">
                      <w:fldChar w:fldCharType="separate"/>
                    </w:r>
                    <w:r w:rsidR="002C1298">
                      <w:rPr>
                        <w:noProof/>
                        <w:lang w:val="en-US"/>
                      </w:rPr>
                      <w:t>(Gunning)</w:t>
                    </w:r>
                    <w:r w:rsidR="002C1298">
                      <w:fldChar w:fldCharType="end"/>
                    </w:r>
                  </w:sdtContent>
                </w:sdt>
              </w:p>
              <w:p w14:paraId="5BB94F5D" w14:textId="77777777" w:rsidR="000D479A" w:rsidRDefault="000D479A" w:rsidP="002C1298"/>
              <w:p w14:paraId="238596D4" w14:textId="77777777" w:rsidR="002C1298" w:rsidRDefault="0026396D" w:rsidP="002C1298">
                <w:sdt>
                  <w:sdtPr>
                    <w:id w:val="-1268460956"/>
                    <w:citation/>
                  </w:sdtPr>
                  <w:sdtEndPr/>
                  <w:sdtContent>
                    <w:r w:rsidR="002C1298">
                      <w:fldChar w:fldCharType="begin"/>
                    </w:r>
                    <w:r w:rsidR="002C1298">
                      <w:rPr>
                        <w:lang w:val="en-US"/>
                      </w:rPr>
                      <w:instrText xml:space="preserve"> CITATION Han99 \l 1033 </w:instrText>
                    </w:r>
                    <w:r w:rsidR="002C1298">
                      <w:fldChar w:fldCharType="separate"/>
                    </w:r>
                    <w:r w:rsidR="002C1298">
                      <w:rPr>
                        <w:noProof/>
                        <w:lang w:val="en-US"/>
                      </w:rPr>
                      <w:t>(Hansen)</w:t>
                    </w:r>
                    <w:r w:rsidR="002C1298">
                      <w:fldChar w:fldCharType="end"/>
                    </w:r>
                  </w:sdtContent>
                </w:sdt>
              </w:p>
              <w:p w14:paraId="7FD1C6B9" w14:textId="77777777" w:rsidR="000D479A" w:rsidRDefault="000D479A" w:rsidP="002C1298"/>
              <w:p w14:paraId="56F8051A" w14:textId="77777777" w:rsidR="00127763" w:rsidRDefault="0026396D" w:rsidP="002C1298">
                <w:sdt>
                  <w:sdtPr>
                    <w:id w:val="1484669730"/>
                    <w:citation/>
                  </w:sdtPr>
                  <w:sdtEndPr/>
                  <w:sdtContent>
                    <w:r w:rsidR="002C1298">
                      <w:fldChar w:fldCharType="begin"/>
                    </w:r>
                    <w:r w:rsidR="002C1298">
                      <w:rPr>
                        <w:lang w:val="en-US"/>
                      </w:rPr>
                      <w:instrText xml:space="preserve"> CITATION Kno90 \l 1033 </w:instrText>
                    </w:r>
                    <w:r w:rsidR="002C1298">
                      <w:fldChar w:fldCharType="separate"/>
                    </w:r>
                    <w:r w:rsidR="002C1298">
                      <w:rPr>
                        <w:noProof/>
                        <w:lang w:val="en-US"/>
                      </w:rPr>
                      <w:t>(Knopf)</w:t>
                    </w:r>
                    <w:r w:rsidR="002C1298">
                      <w:fldChar w:fldCharType="end"/>
                    </w:r>
                  </w:sdtContent>
                </w:sdt>
              </w:p>
              <w:p w14:paraId="603F58FC" w14:textId="77777777" w:rsidR="000D479A" w:rsidRDefault="000D479A" w:rsidP="002C1298"/>
              <w:p w14:paraId="03E8983B" w14:textId="77777777" w:rsidR="00127763" w:rsidRDefault="0026396D" w:rsidP="002C1298">
                <w:sdt>
                  <w:sdtPr>
                    <w:id w:val="1435717490"/>
                    <w:citation/>
                  </w:sdtPr>
                  <w:sdtEndPr/>
                  <w:sdtContent>
                    <w:r w:rsidR="00127763">
                      <w:fldChar w:fldCharType="begin"/>
                    </w:r>
                    <w:r w:rsidR="00127763">
                      <w:rPr>
                        <w:lang w:val="en-US"/>
                      </w:rPr>
                      <w:instrText xml:space="preserve"> CITATION Las09 \l 1033 </w:instrText>
                    </w:r>
                    <w:r w:rsidR="00127763">
                      <w:fldChar w:fldCharType="separate"/>
                    </w:r>
                    <w:r w:rsidR="00127763">
                      <w:rPr>
                        <w:noProof/>
                        <w:lang w:val="en-US"/>
                      </w:rPr>
                      <w:t>(Lastra)</w:t>
                    </w:r>
                    <w:r w:rsidR="00127763">
                      <w:fldChar w:fldCharType="end"/>
                    </w:r>
                  </w:sdtContent>
                </w:sdt>
              </w:p>
              <w:p w14:paraId="7EFC316C" w14:textId="77777777" w:rsidR="000D479A" w:rsidRDefault="000D479A" w:rsidP="002C1298"/>
              <w:p w14:paraId="0D24C47C" w14:textId="01F3A417" w:rsidR="003235A7" w:rsidRDefault="0026396D" w:rsidP="002C1298">
                <w:sdt>
                  <w:sdtPr>
                    <w:id w:val="495154093"/>
                    <w:citation/>
                  </w:sdtPr>
                  <w:sdtEndPr/>
                  <w:sdtContent>
                    <w:r w:rsidR="00127763">
                      <w:fldChar w:fldCharType="begin"/>
                    </w:r>
                    <w:r w:rsidR="00127763">
                      <w:rPr>
                        <w:lang w:val="en-US"/>
                      </w:rPr>
                      <w:instrText xml:space="preserve"> CITATION Nor \l 1033 </w:instrText>
                    </w:r>
                    <w:r w:rsidR="00127763">
                      <w:fldChar w:fldCharType="separate"/>
                    </w:r>
                    <w:r w:rsidR="00127763">
                      <w:rPr>
                        <w:noProof/>
                        <w:lang w:val="en-US"/>
                      </w:rPr>
                      <w:t>(North)</w:t>
                    </w:r>
                    <w:r w:rsidR="00127763">
                      <w:fldChar w:fldCharType="end"/>
                    </w:r>
                  </w:sdtContent>
                </w:sdt>
              </w:p>
              <w:bookmarkStart w:id="0" w:name="_GoBack" w:displacedByCustomXml="next"/>
              <w:bookmarkEnd w:id="0" w:displacedByCustomXml="next"/>
            </w:sdtContent>
          </w:sdt>
        </w:tc>
      </w:tr>
    </w:tbl>
    <w:p w14:paraId="50354A85"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340E8" w14:textId="77777777" w:rsidR="002C1298" w:rsidRDefault="002C1298" w:rsidP="007A0D55">
      <w:pPr>
        <w:spacing w:after="0" w:line="240" w:lineRule="auto"/>
      </w:pPr>
      <w:r>
        <w:separator/>
      </w:r>
    </w:p>
  </w:endnote>
  <w:endnote w:type="continuationSeparator" w:id="0">
    <w:p w14:paraId="4D969E6E" w14:textId="77777777" w:rsidR="002C1298" w:rsidRDefault="002C12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8A669" w14:textId="77777777" w:rsidR="002C1298" w:rsidRDefault="002C1298" w:rsidP="007A0D55">
      <w:pPr>
        <w:spacing w:after="0" w:line="240" w:lineRule="auto"/>
      </w:pPr>
      <w:r>
        <w:separator/>
      </w:r>
    </w:p>
  </w:footnote>
  <w:footnote w:type="continuationSeparator" w:id="0">
    <w:p w14:paraId="1B48FFC0" w14:textId="77777777" w:rsidR="002C1298" w:rsidRDefault="002C129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2A5B0" w14:textId="77777777" w:rsidR="002C1298" w:rsidRDefault="002C129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DB3A6F" w14:textId="77777777" w:rsidR="002C1298" w:rsidRDefault="002C12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44"/>
    <w:rsid w:val="00032559"/>
    <w:rsid w:val="00052040"/>
    <w:rsid w:val="000B25AE"/>
    <w:rsid w:val="000B55AB"/>
    <w:rsid w:val="000D24DC"/>
    <w:rsid w:val="000D479A"/>
    <w:rsid w:val="00101B2E"/>
    <w:rsid w:val="00116FA0"/>
    <w:rsid w:val="00127763"/>
    <w:rsid w:val="0015114C"/>
    <w:rsid w:val="001A21F3"/>
    <w:rsid w:val="001A2537"/>
    <w:rsid w:val="001A6A06"/>
    <w:rsid w:val="00210C03"/>
    <w:rsid w:val="002162E2"/>
    <w:rsid w:val="00225C5A"/>
    <w:rsid w:val="00230B10"/>
    <w:rsid w:val="00234353"/>
    <w:rsid w:val="00244BB0"/>
    <w:rsid w:val="0026396D"/>
    <w:rsid w:val="002A0A0D"/>
    <w:rsid w:val="002B0B37"/>
    <w:rsid w:val="002C129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7DF8"/>
    <w:rsid w:val="00780D95"/>
    <w:rsid w:val="00780DC7"/>
    <w:rsid w:val="007A0D55"/>
    <w:rsid w:val="007B3377"/>
    <w:rsid w:val="007E5F44"/>
    <w:rsid w:val="00821DE3"/>
    <w:rsid w:val="00846CE1"/>
    <w:rsid w:val="008A5B87"/>
    <w:rsid w:val="00922950"/>
    <w:rsid w:val="0099554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4AF"/>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E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544"/>
    <w:rPr>
      <w:rFonts w:ascii="Lucida Grande" w:hAnsi="Lucida Grande" w:cs="Lucida Grande"/>
      <w:sz w:val="18"/>
      <w:szCs w:val="18"/>
    </w:rPr>
  </w:style>
  <w:style w:type="character" w:styleId="Hyperlink">
    <w:name w:val="Hyperlink"/>
    <w:basedOn w:val="DefaultParagraphFont"/>
    <w:uiPriority w:val="99"/>
    <w:unhideWhenUsed/>
    <w:rsid w:val="00777DF8"/>
    <w:rPr>
      <w:color w:val="0000FF"/>
      <w:u w:val="single"/>
    </w:rPr>
  </w:style>
  <w:style w:type="character" w:styleId="CommentReference">
    <w:name w:val="annotation reference"/>
    <w:basedOn w:val="DefaultParagraphFont"/>
    <w:uiPriority w:val="99"/>
    <w:semiHidden/>
    <w:rsid w:val="000D479A"/>
    <w:rPr>
      <w:sz w:val="18"/>
      <w:szCs w:val="18"/>
    </w:rPr>
  </w:style>
  <w:style w:type="paragraph" w:styleId="CommentText">
    <w:name w:val="annotation text"/>
    <w:basedOn w:val="Normal"/>
    <w:link w:val="CommentTextChar"/>
    <w:uiPriority w:val="99"/>
    <w:semiHidden/>
    <w:rsid w:val="000D479A"/>
    <w:pPr>
      <w:spacing w:line="240" w:lineRule="auto"/>
    </w:pPr>
    <w:rPr>
      <w:sz w:val="24"/>
      <w:szCs w:val="24"/>
    </w:rPr>
  </w:style>
  <w:style w:type="character" w:customStyle="1" w:styleId="CommentTextChar">
    <w:name w:val="Comment Text Char"/>
    <w:basedOn w:val="DefaultParagraphFont"/>
    <w:link w:val="CommentText"/>
    <w:uiPriority w:val="99"/>
    <w:semiHidden/>
    <w:rsid w:val="000D479A"/>
    <w:rPr>
      <w:sz w:val="24"/>
      <w:szCs w:val="24"/>
    </w:rPr>
  </w:style>
  <w:style w:type="paragraph" w:styleId="CommentSubject">
    <w:name w:val="annotation subject"/>
    <w:basedOn w:val="CommentText"/>
    <w:next w:val="CommentText"/>
    <w:link w:val="CommentSubjectChar"/>
    <w:uiPriority w:val="99"/>
    <w:semiHidden/>
    <w:rsid w:val="000D479A"/>
    <w:rPr>
      <w:b/>
      <w:bCs/>
      <w:sz w:val="20"/>
      <w:szCs w:val="20"/>
    </w:rPr>
  </w:style>
  <w:style w:type="character" w:customStyle="1" w:styleId="CommentSubjectChar">
    <w:name w:val="Comment Subject Char"/>
    <w:basedOn w:val="CommentTextChar"/>
    <w:link w:val="CommentSubject"/>
    <w:uiPriority w:val="99"/>
    <w:semiHidden/>
    <w:rsid w:val="000D479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544"/>
    <w:rPr>
      <w:rFonts w:ascii="Lucida Grande" w:hAnsi="Lucida Grande" w:cs="Lucida Grande"/>
      <w:sz w:val="18"/>
      <w:szCs w:val="18"/>
    </w:rPr>
  </w:style>
  <w:style w:type="character" w:styleId="Hyperlink">
    <w:name w:val="Hyperlink"/>
    <w:basedOn w:val="DefaultParagraphFont"/>
    <w:uiPriority w:val="99"/>
    <w:unhideWhenUsed/>
    <w:rsid w:val="00777DF8"/>
    <w:rPr>
      <w:color w:val="0000FF"/>
      <w:u w:val="single"/>
    </w:rPr>
  </w:style>
  <w:style w:type="character" w:styleId="CommentReference">
    <w:name w:val="annotation reference"/>
    <w:basedOn w:val="DefaultParagraphFont"/>
    <w:uiPriority w:val="99"/>
    <w:semiHidden/>
    <w:rsid w:val="000D479A"/>
    <w:rPr>
      <w:sz w:val="18"/>
      <w:szCs w:val="18"/>
    </w:rPr>
  </w:style>
  <w:style w:type="paragraph" w:styleId="CommentText">
    <w:name w:val="annotation text"/>
    <w:basedOn w:val="Normal"/>
    <w:link w:val="CommentTextChar"/>
    <w:uiPriority w:val="99"/>
    <w:semiHidden/>
    <w:rsid w:val="000D479A"/>
    <w:pPr>
      <w:spacing w:line="240" w:lineRule="auto"/>
    </w:pPr>
    <w:rPr>
      <w:sz w:val="24"/>
      <w:szCs w:val="24"/>
    </w:rPr>
  </w:style>
  <w:style w:type="character" w:customStyle="1" w:styleId="CommentTextChar">
    <w:name w:val="Comment Text Char"/>
    <w:basedOn w:val="DefaultParagraphFont"/>
    <w:link w:val="CommentText"/>
    <w:uiPriority w:val="99"/>
    <w:semiHidden/>
    <w:rsid w:val="000D479A"/>
    <w:rPr>
      <w:sz w:val="24"/>
      <w:szCs w:val="24"/>
    </w:rPr>
  </w:style>
  <w:style w:type="paragraph" w:styleId="CommentSubject">
    <w:name w:val="annotation subject"/>
    <w:basedOn w:val="CommentText"/>
    <w:next w:val="CommentText"/>
    <w:link w:val="CommentSubjectChar"/>
    <w:uiPriority w:val="99"/>
    <w:semiHidden/>
    <w:rsid w:val="000D479A"/>
    <w:rPr>
      <w:b/>
      <w:bCs/>
      <w:sz w:val="20"/>
      <w:szCs w:val="20"/>
    </w:rPr>
  </w:style>
  <w:style w:type="character" w:customStyle="1" w:styleId="CommentSubjectChar">
    <w:name w:val="Comment Subject Char"/>
    <w:basedOn w:val="CommentTextChar"/>
    <w:link w:val="CommentSubject"/>
    <w:uiPriority w:val="99"/>
    <w:semiHidden/>
    <w:rsid w:val="000D47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oc.gov/pictures/resource/cph.3c26201/"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rchive.org/details/Cops1922" TargetMode="External"/><Relationship Id="rId10" Type="http://schemas.openxmlformats.org/officeDocument/2006/relationships/hyperlink" Target="http://en.wikipedia.org/wiki/File:Threekeatons.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4F93D57CA8A047BBF84B49A34E7D2C"/>
        <w:category>
          <w:name w:val="General"/>
          <w:gallery w:val="placeholder"/>
        </w:category>
        <w:types>
          <w:type w:val="bbPlcHdr"/>
        </w:types>
        <w:behaviors>
          <w:behavior w:val="content"/>
        </w:behaviors>
        <w:guid w:val="{46440F83-6765-384E-8823-F812198A816E}"/>
      </w:docPartPr>
      <w:docPartBody>
        <w:p w:rsidR="00131DF7" w:rsidRDefault="00131DF7">
          <w:pPr>
            <w:pStyle w:val="434F93D57CA8A047BBF84B49A34E7D2C"/>
          </w:pPr>
          <w:r w:rsidRPr="00CC586D">
            <w:rPr>
              <w:rStyle w:val="PlaceholderText"/>
              <w:b/>
              <w:color w:val="FFFFFF" w:themeColor="background1"/>
            </w:rPr>
            <w:t>[Salutation]</w:t>
          </w:r>
        </w:p>
      </w:docPartBody>
    </w:docPart>
    <w:docPart>
      <w:docPartPr>
        <w:name w:val="C0B24FAC6E0A064BA9B167EBE4BE7EA3"/>
        <w:category>
          <w:name w:val="General"/>
          <w:gallery w:val="placeholder"/>
        </w:category>
        <w:types>
          <w:type w:val="bbPlcHdr"/>
        </w:types>
        <w:behaviors>
          <w:behavior w:val="content"/>
        </w:behaviors>
        <w:guid w:val="{FBC7E936-AB34-314C-AA78-179B64329C37}"/>
      </w:docPartPr>
      <w:docPartBody>
        <w:p w:rsidR="00131DF7" w:rsidRDefault="00131DF7">
          <w:pPr>
            <w:pStyle w:val="C0B24FAC6E0A064BA9B167EBE4BE7EA3"/>
          </w:pPr>
          <w:r>
            <w:rPr>
              <w:rStyle w:val="PlaceholderText"/>
            </w:rPr>
            <w:t>[First name]</w:t>
          </w:r>
        </w:p>
      </w:docPartBody>
    </w:docPart>
    <w:docPart>
      <w:docPartPr>
        <w:name w:val="0E9081FD4348B34FAAD1CB9A4550797F"/>
        <w:category>
          <w:name w:val="General"/>
          <w:gallery w:val="placeholder"/>
        </w:category>
        <w:types>
          <w:type w:val="bbPlcHdr"/>
        </w:types>
        <w:behaviors>
          <w:behavior w:val="content"/>
        </w:behaviors>
        <w:guid w:val="{07C9DC6F-957E-5846-B618-3F45AD381687}"/>
      </w:docPartPr>
      <w:docPartBody>
        <w:p w:rsidR="00131DF7" w:rsidRDefault="00131DF7">
          <w:pPr>
            <w:pStyle w:val="0E9081FD4348B34FAAD1CB9A4550797F"/>
          </w:pPr>
          <w:r>
            <w:rPr>
              <w:rStyle w:val="PlaceholderText"/>
            </w:rPr>
            <w:t>[Middle name]</w:t>
          </w:r>
        </w:p>
      </w:docPartBody>
    </w:docPart>
    <w:docPart>
      <w:docPartPr>
        <w:name w:val="C1DA6820B676D541B678BE53370B6711"/>
        <w:category>
          <w:name w:val="General"/>
          <w:gallery w:val="placeholder"/>
        </w:category>
        <w:types>
          <w:type w:val="bbPlcHdr"/>
        </w:types>
        <w:behaviors>
          <w:behavior w:val="content"/>
        </w:behaviors>
        <w:guid w:val="{F9379605-4CDA-D64C-B51C-828634BBAE03}"/>
      </w:docPartPr>
      <w:docPartBody>
        <w:p w:rsidR="00131DF7" w:rsidRDefault="00131DF7">
          <w:pPr>
            <w:pStyle w:val="C1DA6820B676D541B678BE53370B6711"/>
          </w:pPr>
          <w:r>
            <w:rPr>
              <w:rStyle w:val="PlaceholderText"/>
            </w:rPr>
            <w:t>[Last name]</w:t>
          </w:r>
        </w:p>
      </w:docPartBody>
    </w:docPart>
    <w:docPart>
      <w:docPartPr>
        <w:name w:val="5530E3BE8C013C46A11A002C1E2EF7E2"/>
        <w:category>
          <w:name w:val="General"/>
          <w:gallery w:val="placeholder"/>
        </w:category>
        <w:types>
          <w:type w:val="bbPlcHdr"/>
        </w:types>
        <w:behaviors>
          <w:behavior w:val="content"/>
        </w:behaviors>
        <w:guid w:val="{8795B150-642F-784E-8445-61A4646BCA75}"/>
      </w:docPartPr>
      <w:docPartBody>
        <w:p w:rsidR="00131DF7" w:rsidRDefault="00131DF7">
          <w:pPr>
            <w:pStyle w:val="5530E3BE8C013C46A11A002C1E2EF7E2"/>
          </w:pPr>
          <w:r>
            <w:rPr>
              <w:rStyle w:val="PlaceholderText"/>
            </w:rPr>
            <w:t>[Enter your biography]</w:t>
          </w:r>
        </w:p>
      </w:docPartBody>
    </w:docPart>
    <w:docPart>
      <w:docPartPr>
        <w:name w:val="0C3FD42767AD9A4B9DC021E7BC620769"/>
        <w:category>
          <w:name w:val="General"/>
          <w:gallery w:val="placeholder"/>
        </w:category>
        <w:types>
          <w:type w:val="bbPlcHdr"/>
        </w:types>
        <w:behaviors>
          <w:behavior w:val="content"/>
        </w:behaviors>
        <w:guid w:val="{5D8D6C30-DD1F-7541-8563-2408D728C733}"/>
      </w:docPartPr>
      <w:docPartBody>
        <w:p w:rsidR="00131DF7" w:rsidRDefault="00131DF7">
          <w:pPr>
            <w:pStyle w:val="0C3FD42767AD9A4B9DC021E7BC620769"/>
          </w:pPr>
          <w:r>
            <w:rPr>
              <w:rStyle w:val="PlaceholderText"/>
            </w:rPr>
            <w:t>[Enter the institution with which you are affiliated]</w:t>
          </w:r>
        </w:p>
      </w:docPartBody>
    </w:docPart>
    <w:docPart>
      <w:docPartPr>
        <w:name w:val="841C6A491FB38745B0EAED71ED813BE7"/>
        <w:category>
          <w:name w:val="General"/>
          <w:gallery w:val="placeholder"/>
        </w:category>
        <w:types>
          <w:type w:val="bbPlcHdr"/>
        </w:types>
        <w:behaviors>
          <w:behavior w:val="content"/>
        </w:behaviors>
        <w:guid w:val="{CA3485FA-6440-E540-AF17-A7BF11DB39D9}"/>
      </w:docPartPr>
      <w:docPartBody>
        <w:p w:rsidR="00131DF7" w:rsidRDefault="00131DF7">
          <w:pPr>
            <w:pStyle w:val="841C6A491FB38745B0EAED71ED813BE7"/>
          </w:pPr>
          <w:r w:rsidRPr="00EF74F7">
            <w:rPr>
              <w:b/>
              <w:color w:val="808080" w:themeColor="background1" w:themeShade="80"/>
            </w:rPr>
            <w:t>[Enter the headword for your article]</w:t>
          </w:r>
        </w:p>
      </w:docPartBody>
    </w:docPart>
    <w:docPart>
      <w:docPartPr>
        <w:name w:val="A98782777027ED4282AFDDC1F15DE924"/>
        <w:category>
          <w:name w:val="General"/>
          <w:gallery w:val="placeholder"/>
        </w:category>
        <w:types>
          <w:type w:val="bbPlcHdr"/>
        </w:types>
        <w:behaviors>
          <w:behavior w:val="content"/>
        </w:behaviors>
        <w:guid w:val="{DCF0D5AF-DAA4-C94E-B0F6-71E529974800}"/>
      </w:docPartPr>
      <w:docPartBody>
        <w:p w:rsidR="00131DF7" w:rsidRDefault="00131DF7">
          <w:pPr>
            <w:pStyle w:val="A98782777027ED4282AFDDC1F15DE9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D756CEE780A148B20E5CA184415E53"/>
        <w:category>
          <w:name w:val="General"/>
          <w:gallery w:val="placeholder"/>
        </w:category>
        <w:types>
          <w:type w:val="bbPlcHdr"/>
        </w:types>
        <w:behaviors>
          <w:behavior w:val="content"/>
        </w:behaviors>
        <w:guid w:val="{B7DF2B07-3CF2-DA4E-B93D-D3FFC67A955A}"/>
      </w:docPartPr>
      <w:docPartBody>
        <w:p w:rsidR="00131DF7" w:rsidRDefault="00131DF7">
          <w:pPr>
            <w:pStyle w:val="48D756CEE780A148B20E5CA184415E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212F42500CF84F8024D22DBACB619D"/>
        <w:category>
          <w:name w:val="General"/>
          <w:gallery w:val="placeholder"/>
        </w:category>
        <w:types>
          <w:type w:val="bbPlcHdr"/>
        </w:types>
        <w:behaviors>
          <w:behavior w:val="content"/>
        </w:behaviors>
        <w:guid w:val="{32AE1166-9D6F-3942-AEFA-6FB5F7EE70BF}"/>
      </w:docPartPr>
      <w:docPartBody>
        <w:p w:rsidR="00131DF7" w:rsidRDefault="00131DF7">
          <w:pPr>
            <w:pStyle w:val="26212F42500CF84F8024D22DBACB61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1C66507A91B047A7780434B1887252"/>
        <w:category>
          <w:name w:val="General"/>
          <w:gallery w:val="placeholder"/>
        </w:category>
        <w:types>
          <w:type w:val="bbPlcHdr"/>
        </w:types>
        <w:behaviors>
          <w:behavior w:val="content"/>
        </w:behaviors>
        <w:guid w:val="{39E33986-FBAA-484E-A731-18DBB25225B4}"/>
      </w:docPartPr>
      <w:docPartBody>
        <w:p w:rsidR="00131DF7" w:rsidRDefault="00131DF7">
          <w:pPr>
            <w:pStyle w:val="281C66507A91B047A7780434B18872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F7"/>
    <w:rsid w:val="00131D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DF7"/>
    <w:rPr>
      <w:color w:val="808080"/>
    </w:rPr>
  </w:style>
  <w:style w:type="paragraph" w:customStyle="1" w:styleId="434F93D57CA8A047BBF84B49A34E7D2C">
    <w:name w:val="434F93D57CA8A047BBF84B49A34E7D2C"/>
  </w:style>
  <w:style w:type="paragraph" w:customStyle="1" w:styleId="C0B24FAC6E0A064BA9B167EBE4BE7EA3">
    <w:name w:val="C0B24FAC6E0A064BA9B167EBE4BE7EA3"/>
  </w:style>
  <w:style w:type="paragraph" w:customStyle="1" w:styleId="0E9081FD4348B34FAAD1CB9A4550797F">
    <w:name w:val="0E9081FD4348B34FAAD1CB9A4550797F"/>
  </w:style>
  <w:style w:type="paragraph" w:customStyle="1" w:styleId="C1DA6820B676D541B678BE53370B6711">
    <w:name w:val="C1DA6820B676D541B678BE53370B6711"/>
  </w:style>
  <w:style w:type="paragraph" w:customStyle="1" w:styleId="5530E3BE8C013C46A11A002C1E2EF7E2">
    <w:name w:val="5530E3BE8C013C46A11A002C1E2EF7E2"/>
  </w:style>
  <w:style w:type="paragraph" w:customStyle="1" w:styleId="0C3FD42767AD9A4B9DC021E7BC620769">
    <w:name w:val="0C3FD42767AD9A4B9DC021E7BC620769"/>
  </w:style>
  <w:style w:type="paragraph" w:customStyle="1" w:styleId="841C6A491FB38745B0EAED71ED813BE7">
    <w:name w:val="841C6A491FB38745B0EAED71ED813BE7"/>
  </w:style>
  <w:style w:type="paragraph" w:customStyle="1" w:styleId="A98782777027ED4282AFDDC1F15DE924">
    <w:name w:val="A98782777027ED4282AFDDC1F15DE924"/>
  </w:style>
  <w:style w:type="paragraph" w:customStyle="1" w:styleId="48D756CEE780A148B20E5CA184415E53">
    <w:name w:val="48D756CEE780A148B20E5CA184415E53"/>
  </w:style>
  <w:style w:type="paragraph" w:customStyle="1" w:styleId="26212F42500CF84F8024D22DBACB619D">
    <w:name w:val="26212F42500CF84F8024D22DBACB619D"/>
  </w:style>
  <w:style w:type="paragraph" w:customStyle="1" w:styleId="281C66507A91B047A7780434B1887252">
    <w:name w:val="281C66507A91B047A7780434B1887252"/>
  </w:style>
  <w:style w:type="paragraph" w:customStyle="1" w:styleId="D5809DFE9F831648B0ACF1D66D1ED9F8">
    <w:name w:val="D5809DFE9F831648B0ACF1D66D1ED9F8"/>
    <w:rsid w:val="00131DF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DF7"/>
    <w:rPr>
      <w:color w:val="808080"/>
    </w:rPr>
  </w:style>
  <w:style w:type="paragraph" w:customStyle="1" w:styleId="434F93D57CA8A047BBF84B49A34E7D2C">
    <w:name w:val="434F93D57CA8A047BBF84B49A34E7D2C"/>
  </w:style>
  <w:style w:type="paragraph" w:customStyle="1" w:styleId="C0B24FAC6E0A064BA9B167EBE4BE7EA3">
    <w:name w:val="C0B24FAC6E0A064BA9B167EBE4BE7EA3"/>
  </w:style>
  <w:style w:type="paragraph" w:customStyle="1" w:styleId="0E9081FD4348B34FAAD1CB9A4550797F">
    <w:name w:val="0E9081FD4348B34FAAD1CB9A4550797F"/>
  </w:style>
  <w:style w:type="paragraph" w:customStyle="1" w:styleId="C1DA6820B676D541B678BE53370B6711">
    <w:name w:val="C1DA6820B676D541B678BE53370B6711"/>
  </w:style>
  <w:style w:type="paragraph" w:customStyle="1" w:styleId="5530E3BE8C013C46A11A002C1E2EF7E2">
    <w:name w:val="5530E3BE8C013C46A11A002C1E2EF7E2"/>
  </w:style>
  <w:style w:type="paragraph" w:customStyle="1" w:styleId="0C3FD42767AD9A4B9DC021E7BC620769">
    <w:name w:val="0C3FD42767AD9A4B9DC021E7BC620769"/>
  </w:style>
  <w:style w:type="paragraph" w:customStyle="1" w:styleId="841C6A491FB38745B0EAED71ED813BE7">
    <w:name w:val="841C6A491FB38745B0EAED71ED813BE7"/>
  </w:style>
  <w:style w:type="paragraph" w:customStyle="1" w:styleId="A98782777027ED4282AFDDC1F15DE924">
    <w:name w:val="A98782777027ED4282AFDDC1F15DE924"/>
  </w:style>
  <w:style w:type="paragraph" w:customStyle="1" w:styleId="48D756CEE780A148B20E5CA184415E53">
    <w:name w:val="48D756CEE780A148B20E5CA184415E53"/>
  </w:style>
  <w:style w:type="paragraph" w:customStyle="1" w:styleId="26212F42500CF84F8024D22DBACB619D">
    <w:name w:val="26212F42500CF84F8024D22DBACB619D"/>
  </w:style>
  <w:style w:type="paragraph" w:customStyle="1" w:styleId="281C66507A91B047A7780434B1887252">
    <w:name w:val="281C66507A91B047A7780434B1887252"/>
  </w:style>
  <w:style w:type="paragraph" w:customStyle="1" w:styleId="D5809DFE9F831648B0ACF1D66D1ED9F8">
    <w:name w:val="D5809DFE9F831648B0ACF1D66D1ED9F8"/>
    <w:rsid w:val="00131DF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Car09</b:Tag>
    <b:SourceType>Book</b:SourceType>
    <b:Guid>{F211D0CA-11C4-734F-926F-495258BABA59}</b:Guid>
    <b:Author>
      <b:Author>
        <b:NameList>
          <b:Person>
            <b:Last>Carroll</b:Last>
            <b:First>N.</b:First>
          </b:Person>
        </b:NameList>
      </b:Author>
    </b:Author>
    <b:Title>Comedy Incarnate: Buster Keaton, Physical Humor, and Bodily Coping,</b:Title>
    <b:Publisher>Wiley and Sons</b:Publisher>
    <b:City>Oxford</b:City>
    <b:Year>2009</b:Year>
    <b:Comments>An extended treatment of the visual style and structure of The General.</b:Comments>
    <b:CountryRegion>UK</b:CountryRegion>
    <b:RefOrder>2</b:RefOrder>
  </b:Source>
  <b:Source>
    <b:Tag>Dar79</b:Tag>
    <b:SourceType>Book</b:SourceType>
    <b:Guid>{5DFE0B74-7A78-0E42-A40E-CFD81E02071A}</b:Guid>
    <b:Author>
      <b:Author>
        <b:NameList>
          <b:Person>
            <b:Last>Dardis</b:Last>
            <b:First>T.</b:First>
          </b:Person>
        </b:NameList>
      </b:Author>
    </b:Author>
    <b:Title>Keaton: The Man Who Wouldn’t Lie Down</b:Title>
    <b:City>New York</b:City>
    <b:StateProvince>New York</b:StateProvince>
    <b:CountryRegion>USA</b:CountryRegion>
    <b:Publisher>Charles Scribner</b:Publisher>
    <b:Year>1979</b:Year>
    <b:Comments>A concise and easy-to-read biography that traces Keaton’s life from his days as a child performer in his parent’s vaudeville routine through his late commercial work and participation in Samuel Beckett’s Film.</b:Comments>
    <b:RefOrder>3</b:RefOrder>
  </b:Source>
  <b:Source>
    <b:Tag>Gun95</b:Tag>
    <b:SourceType>JournalArticle</b:SourceType>
    <b:Guid>{927CCFA1-754A-8D40-B7B6-90E1F4DEEC68}</b:Guid>
    <b:Author>
      <b:Author>
        <b:NameList>
          <b:Person>
            <b:Last>Gunning</b:Last>
            <b:First>T.</b:First>
          </b:Person>
        </b:NameList>
      </b:Author>
    </b:Author>
    <b:Title>Buster Keaton, or The Work of Comedy in the Age of Mechanical Reproduction</b:Title>
    <b:Year>1995</b:Year>
    <b:Volume>XXI</b:Volume>
    <b:Pages>14-16</b:Pages>
    <b:Comments>A review of Keaton’s films on the occasion of their re-release on DVD with particular attention to Keaton’s depiction of the relationship between human beings and machines.</b:Comments>
    <b:JournalName>Cineaste</b:JournalName>
    <b:Issue>3</b:Issue>
    <b:RefOrder>4</b:RefOrder>
  </b:Source>
  <b:Source>
    <b:Tag>Han99</b:Tag>
    <b:SourceType>JournalArticle</b:SourceType>
    <b:Guid>{0395DB16-E20C-7C4B-8D72-40EF55B17118}</b:Guid>
    <b:Author>
      <b:Author>
        <b:NameList>
          <b:Person>
            <b:Last>Hansen</b:Last>
            <b:First>M.</b:First>
          </b:Person>
        </b:NameList>
      </b:Author>
    </b:Author>
    <b:Title>The Mass Production of the Senses: Classical Cinema as Vernacular Modernism</b:Title>
    <b:JournalName>Modernism/ Modernity</b:JournalName>
    <b:Year>1999</b:Year>
    <b:Volume>VI</b:Volume>
    <b:Issue>2</b:Issue>
    <b:Pages>59-77</b:Pages>
    <b:Comments>An influential argument for the modernity of studio-era Hollywood cinema with emphasis on the reception of films of the lower genres among Soviet filmmakers.</b:Comments>
    <b:RefOrder>5</b:RefOrder>
  </b:Source>
  <b:Source>
    <b:Tag>Kno90</b:Tag>
    <b:SourceType>Book</b:SourceType>
    <b:Guid>{0FBC3704-CFE9-0949-A55A-4D718612EFA1}</b:Guid>
    <b:Author>
      <b:Author>
        <b:NameList>
          <b:Person>
            <b:Last>Knopf</b:Last>
            <b:First>R.</b:First>
          </b:Person>
        </b:NameList>
      </b:Author>
    </b:Author>
    <b:Title>The Theater and Cinema of Buster Keaton</b:Title>
    <b:Publisher>Princeton University Press</b:Publisher>
    <b:City>Princeton</b:City>
    <b:Year>1990</b:Year>
    <b:Comments>An exhaustive account of Keaton’s work in terms of the theater, the classical Hollywood cinema, and its reception among the European surrealists.</b:Comments>
    <b:StateProvince>New Jersey</b:StateProvince>
    <b:CountryRegion>USA</b:CountryRegion>
    <b:RefOrder>6</b:RefOrder>
  </b:Source>
  <b:Source>
    <b:Tag>Las09</b:Tag>
    <b:SourceType>JournalArticle</b:SourceType>
    <b:Guid>{484BE7AF-0C33-CB4F-B56E-B9E8D915B936}</b:Guid>
    <b:Author>
      <b:Author>
        <b:NameList>
          <b:Person>
            <b:Last>Lastra</b:Last>
            <b:First>J.</b:First>
          </b:Person>
        </b:NameList>
      </b:Author>
    </b:Author>
    <b:Title>Bunuel, Bataille, and Buster, or the Surrealist Life of Things</b:Title>
    <b:Year>2009</b:Year>
    <b:Volume>LI</b:Volume>
    <b:Pages>16-38</b:Pages>
    <b:Comments>An account of Luis Bunuel’s interest in certain formal and thematic characteristics of Keaton’s work and the influence of these characteristics on Un Chien Andalou.</b:Comments>
    <b:JournalName>Critical Quarterly</b:JournalName>
    <b:Issue>2</b:Issue>
    <b:RefOrder>7</b:RefOrder>
  </b:Source>
  <b:Source>
    <b:Tag>Nor</b:Tag>
    <b:SourceType>Book</b:SourceType>
    <b:Guid>{83ADB4F7-4A5F-3348-A70A-02C35E630F51}</b:Guid>
    <b:Author>
      <b:Author>
        <b:NameList>
          <b:Person>
            <b:Last>North</b:Last>
            <b:First>Michael</b:First>
          </b:Person>
        </b:NameList>
      </b:Author>
    </b:Author>
    <b:Title>Machine-Age Comedy</b:Title>
    <b:Publisher>Oxford University Press</b:Publisher>
    <b:City>New York</b:City>
    <b:Comments>The first chapter of North’s book concerns the surprising formal similarities between Keaton’s The Cameraman and Dziga Vertov’s The Man with a Movie Camera and constitutes an interesting introduction to the relationship between Keaton’s work and more self-consciously modernist filmmaking.</b:Comments>
    <b:StateProvince>New York</b:StateProvince>
    <b:CountryRegion>USA</b:CountryRegion>
    <b:RefOrder>8</b:RefOrder>
  </b:Source>
  <b:Source>
    <b:Tag>Buñ02</b:Tag>
    <b:SourceType>Book</b:SourceType>
    <b:Guid>{BB37966E-E002-8348-9FC5-FFDF5CA32EAD}</b:Guid>
    <b:Author>
      <b:Author>
        <b:NameList>
          <b:Person>
            <b:Last>Buñuel</b:Last>
            <b:First>Luis</b:First>
          </b:Person>
        </b:NameList>
      </b:Author>
      <b:Translator>
        <b:NameList>
          <b:Person>
            <b:Last>White</b:Last>
            <b:First>Garrett</b:First>
          </b:Person>
        </b:NameList>
      </b:Translator>
    </b:Author>
    <b:Title>An Unspeakable Betrayal: Selected Writings of Luis Buñuel</b:Title>
    <b:City>Berkeley</b:City>
    <b:Publisher>University of California Press</b:Publisher>
    <b:Year>2002</b:Year>
    <b:RefOrder>1</b:RefOrder>
  </b:Source>
</b:Sources>
</file>

<file path=customXml/itemProps1.xml><?xml version="1.0" encoding="utf-8"?>
<ds:datastoreItem xmlns:ds="http://schemas.openxmlformats.org/officeDocument/2006/customXml" ds:itemID="{6FCFB961-3F89-9D41-BF79-1DE5A94C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774</Words>
  <Characters>4417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2014-11-24T22:52:00Z</dcterms:created>
  <dcterms:modified xsi:type="dcterms:W3CDTF">2014-12-12T17:26:00Z</dcterms:modified>
</cp:coreProperties>
</file>