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9604BB" w14:textId="77777777" w:rsidTr="00922950">
        <w:tc>
          <w:tcPr>
            <w:tcW w:w="491" w:type="dxa"/>
            <w:vMerge w:val="restart"/>
            <w:shd w:val="clear" w:color="auto" w:fill="A6A6A6" w:themeFill="background1" w:themeFillShade="A6"/>
            <w:textDirection w:val="btLr"/>
          </w:tcPr>
          <w:p w14:paraId="159ACA3A" w14:textId="77777777" w:rsidR="00B574C9" w:rsidRPr="00CC586D" w:rsidRDefault="00B574C9" w:rsidP="00F406EE">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57BA9E9679264A8D863B2D411C7676"/>
            </w:placeholder>
            <w:showingPlcHdr/>
            <w:dropDownList>
              <w:listItem w:displayText="Dr." w:value="Dr."/>
              <w:listItem w:displayText="Prof." w:value="Prof."/>
            </w:dropDownList>
          </w:sdtPr>
          <w:sdtContent>
            <w:tc>
              <w:tcPr>
                <w:tcW w:w="1259" w:type="dxa"/>
              </w:tcPr>
              <w:p w14:paraId="6E4CCD36" w14:textId="77777777" w:rsidR="00B574C9" w:rsidRPr="00CC586D" w:rsidRDefault="00B574C9" w:rsidP="00F406EE">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7CD4E07C469C549B80E81511E082D84"/>
            </w:placeholder>
            <w:text/>
          </w:sdtPr>
          <w:sdtContent>
            <w:tc>
              <w:tcPr>
                <w:tcW w:w="2073" w:type="dxa"/>
              </w:tcPr>
              <w:p w14:paraId="13698F06" w14:textId="77777777" w:rsidR="00B574C9" w:rsidRDefault="00152371" w:rsidP="00F406EE">
                <w:r>
                  <w:t>Anne</w:t>
                </w:r>
              </w:p>
            </w:tc>
          </w:sdtContent>
        </w:sdt>
        <w:sdt>
          <w:sdtPr>
            <w:alias w:val="Middle name"/>
            <w:tag w:val="authorMiddleName"/>
            <w:id w:val="-2076034781"/>
            <w:placeholder>
              <w:docPart w:val="57E77AF63EA8174A9FAA57CEE554CB00"/>
            </w:placeholder>
            <w:showingPlcHdr/>
            <w:text/>
          </w:sdtPr>
          <w:sdtContent>
            <w:tc>
              <w:tcPr>
                <w:tcW w:w="2551" w:type="dxa"/>
              </w:tcPr>
              <w:p w14:paraId="53A09D24" w14:textId="77777777" w:rsidR="00B574C9" w:rsidRDefault="00B574C9" w:rsidP="00F406EE">
                <w:r>
                  <w:rPr>
                    <w:rStyle w:val="PlaceholderText"/>
                  </w:rPr>
                  <w:t>[Middle name]</w:t>
                </w:r>
              </w:p>
            </w:tc>
          </w:sdtContent>
        </w:sdt>
        <w:sdt>
          <w:sdtPr>
            <w:alias w:val="Last name"/>
            <w:tag w:val="authorLastName"/>
            <w:id w:val="-1088529830"/>
            <w:placeholder>
              <w:docPart w:val="2DD496747DF6BB41BC3DADCE6819192C"/>
            </w:placeholder>
            <w:text/>
          </w:sdtPr>
          <w:sdtContent>
            <w:tc>
              <w:tcPr>
                <w:tcW w:w="2642" w:type="dxa"/>
              </w:tcPr>
              <w:p w14:paraId="53B93E40" w14:textId="77777777" w:rsidR="00B574C9" w:rsidRDefault="00152371" w:rsidP="00F406EE">
                <w:r>
                  <w:t>Robinson</w:t>
                </w:r>
              </w:p>
            </w:tc>
          </w:sdtContent>
        </w:sdt>
      </w:tr>
      <w:tr w:rsidR="00B574C9" w14:paraId="2A5B0BF4" w14:textId="77777777" w:rsidTr="001A6A06">
        <w:trPr>
          <w:trHeight w:val="986"/>
        </w:trPr>
        <w:tc>
          <w:tcPr>
            <w:tcW w:w="491" w:type="dxa"/>
            <w:vMerge/>
            <w:shd w:val="clear" w:color="auto" w:fill="A6A6A6" w:themeFill="background1" w:themeFillShade="A6"/>
          </w:tcPr>
          <w:p w14:paraId="0A40277E" w14:textId="77777777" w:rsidR="00B574C9" w:rsidRPr="001A6A06" w:rsidRDefault="00B574C9" w:rsidP="00F406EE">
            <w:pPr>
              <w:jc w:val="center"/>
              <w:rPr>
                <w:b/>
                <w:color w:val="FFFFFF" w:themeColor="background1"/>
              </w:rPr>
            </w:pPr>
          </w:p>
        </w:tc>
        <w:sdt>
          <w:sdtPr>
            <w:alias w:val="Biography"/>
            <w:tag w:val="authorBiography"/>
            <w:id w:val="938807824"/>
            <w:placeholder>
              <w:docPart w:val="51FFDE09390BAF439F454831ADE44244"/>
            </w:placeholder>
            <w:showingPlcHdr/>
          </w:sdtPr>
          <w:sdtContent>
            <w:tc>
              <w:tcPr>
                <w:tcW w:w="8525" w:type="dxa"/>
                <w:gridSpan w:val="4"/>
              </w:tcPr>
              <w:p w14:paraId="5A37D108" w14:textId="77777777" w:rsidR="00B574C9" w:rsidRDefault="00B574C9" w:rsidP="00F406EE">
                <w:r>
                  <w:rPr>
                    <w:rStyle w:val="PlaceholderText"/>
                  </w:rPr>
                  <w:t>[Enter your biography]</w:t>
                </w:r>
              </w:p>
            </w:tc>
          </w:sdtContent>
        </w:sdt>
      </w:tr>
      <w:tr w:rsidR="00B574C9" w14:paraId="2AEE759B" w14:textId="77777777" w:rsidTr="001A6A06">
        <w:trPr>
          <w:trHeight w:val="986"/>
        </w:trPr>
        <w:tc>
          <w:tcPr>
            <w:tcW w:w="491" w:type="dxa"/>
            <w:vMerge/>
            <w:shd w:val="clear" w:color="auto" w:fill="A6A6A6" w:themeFill="background1" w:themeFillShade="A6"/>
          </w:tcPr>
          <w:p w14:paraId="01E666A3" w14:textId="77777777" w:rsidR="00B574C9" w:rsidRPr="001A6A06" w:rsidRDefault="00B574C9" w:rsidP="00F406EE">
            <w:pPr>
              <w:jc w:val="center"/>
              <w:rPr>
                <w:b/>
                <w:color w:val="FFFFFF" w:themeColor="background1"/>
              </w:rPr>
            </w:pPr>
          </w:p>
        </w:tc>
        <w:sdt>
          <w:sdtPr>
            <w:alias w:val="Affiliation"/>
            <w:tag w:val="affiliation"/>
            <w:id w:val="2012937915"/>
            <w:placeholder>
              <w:docPart w:val="7EA5839DE831B04589F92ACD81788317"/>
            </w:placeholder>
            <w:showingPlcHdr/>
            <w:text/>
          </w:sdtPr>
          <w:sdtContent>
            <w:tc>
              <w:tcPr>
                <w:tcW w:w="8525" w:type="dxa"/>
                <w:gridSpan w:val="4"/>
              </w:tcPr>
              <w:p w14:paraId="7EFC2A44" w14:textId="77777777" w:rsidR="00B574C9" w:rsidRDefault="00B574C9" w:rsidP="00F406EE">
                <w:r w:rsidRPr="00152371">
                  <w:rPr>
                    <w:rStyle w:val="PlaceholderText"/>
                    <w:highlight w:val="yellow"/>
                  </w:rPr>
                  <w:t>[Enter the institution with which you are affiliated]</w:t>
                </w:r>
              </w:p>
            </w:tc>
          </w:sdtContent>
        </w:sdt>
      </w:tr>
    </w:tbl>
    <w:p w14:paraId="1922924E" w14:textId="77777777" w:rsidR="003D3579" w:rsidRDefault="003D3579" w:rsidP="00F406EE">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FEFDDD" w14:textId="77777777" w:rsidTr="00244BB0">
        <w:tc>
          <w:tcPr>
            <w:tcW w:w="9016" w:type="dxa"/>
            <w:shd w:val="clear" w:color="auto" w:fill="A6A6A6" w:themeFill="background1" w:themeFillShade="A6"/>
            <w:tcMar>
              <w:top w:w="113" w:type="dxa"/>
              <w:bottom w:w="113" w:type="dxa"/>
            </w:tcMar>
          </w:tcPr>
          <w:p w14:paraId="5E536964" w14:textId="77777777" w:rsidR="00244BB0" w:rsidRPr="00244BB0" w:rsidRDefault="00244BB0" w:rsidP="00F406EE">
            <w:pPr>
              <w:jc w:val="center"/>
              <w:rPr>
                <w:b/>
                <w:color w:val="FFFFFF" w:themeColor="background1"/>
              </w:rPr>
            </w:pPr>
            <w:r>
              <w:rPr>
                <w:b/>
                <w:color w:val="FFFFFF" w:themeColor="background1"/>
              </w:rPr>
              <w:t>Your article</w:t>
            </w:r>
          </w:p>
        </w:tc>
      </w:tr>
      <w:tr w:rsidR="003F0D73" w14:paraId="5B7264B3" w14:textId="77777777" w:rsidTr="003F0D73">
        <w:sdt>
          <w:sdtPr>
            <w:alias w:val="Article headword"/>
            <w:tag w:val="articleHeadword"/>
            <w:id w:val="-361440020"/>
            <w:placeholder>
              <w:docPart w:val="F976D8D29E4CA04B8276CE3C7839FD66"/>
            </w:placeholder>
            <w:text/>
          </w:sdtPr>
          <w:sdtContent>
            <w:tc>
              <w:tcPr>
                <w:tcW w:w="9016" w:type="dxa"/>
                <w:tcMar>
                  <w:top w:w="113" w:type="dxa"/>
                  <w:bottom w:w="113" w:type="dxa"/>
                </w:tcMar>
              </w:tcPr>
              <w:p w14:paraId="115DEDA4" w14:textId="77777777" w:rsidR="003F0D73" w:rsidRPr="00FB589A" w:rsidRDefault="00152371" w:rsidP="00F406EE">
                <w:r w:rsidRPr="00F406EE">
                  <w:rPr>
                    <w:lang w:eastAsia="ja-JP"/>
                  </w:rPr>
                  <w:t>Spencer, Penelope (1901-1993)</w:t>
                </w:r>
              </w:p>
            </w:tc>
          </w:sdtContent>
        </w:sdt>
      </w:tr>
      <w:tr w:rsidR="00464699" w14:paraId="390BF316" w14:textId="77777777" w:rsidTr="00125431">
        <w:sdt>
          <w:sdtPr>
            <w:alias w:val="Variant headwords"/>
            <w:tag w:val="variantHeadwords"/>
            <w:id w:val="173464402"/>
            <w:placeholder>
              <w:docPart w:val="CD1E26CB4A098848A864EFBB7BFA47CE"/>
            </w:placeholder>
            <w:showingPlcHdr/>
          </w:sdtPr>
          <w:sdtContent>
            <w:tc>
              <w:tcPr>
                <w:tcW w:w="9016" w:type="dxa"/>
                <w:tcMar>
                  <w:top w:w="113" w:type="dxa"/>
                  <w:bottom w:w="113" w:type="dxa"/>
                </w:tcMar>
              </w:tcPr>
              <w:p w14:paraId="4E8E02BD" w14:textId="77777777" w:rsidR="00464699" w:rsidRDefault="00464699" w:rsidP="00F406E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0E8501" w14:textId="77777777" w:rsidTr="003F0D73">
        <w:sdt>
          <w:sdtPr>
            <w:alias w:val="Abstract"/>
            <w:tag w:val="abstract"/>
            <w:id w:val="-635871867"/>
            <w:placeholder>
              <w:docPart w:val="39EC036EEADD714EB772766022729636"/>
            </w:placeholder>
          </w:sdtPr>
          <w:sdtContent>
            <w:tc>
              <w:tcPr>
                <w:tcW w:w="9016" w:type="dxa"/>
                <w:tcMar>
                  <w:top w:w="113" w:type="dxa"/>
                  <w:bottom w:w="113" w:type="dxa"/>
                </w:tcMar>
              </w:tcPr>
              <w:p w14:paraId="1A797873" w14:textId="042F59FA" w:rsidR="00E85A05" w:rsidRDefault="00993158" w:rsidP="00F406EE">
                <w:pPr>
                  <w:widowControl w:val="0"/>
                </w:pPr>
                <w:r>
                  <w:t>The career of the English ‘creative’ dancer, choreographer, teacher and dance writer Penelope Spencer spanned the period between the First and Second World Wars. Spencer’s versatile training and career encompassed diverse British theatre genres, including ballet, drama, mime, modern dance, musical comedy, opera, pantomime and revue. She practised consecutively as a freelance artist and under the auspices of enlightened cultural institutions, including the Arts Theatre Club, British Broadcasting Corporation, British National Opera Company, Camargo Society, Glastonbury Festival, Royal Academy of Dramatic Art</w:t>
                </w:r>
                <w:r w:rsidR="00F406EE">
                  <w:t>,</w:t>
                </w:r>
                <w:r>
                  <w:t xml:space="preserve"> and Royal College of Music. Her published articles explored the relationship between dance and music, the importance of dance to actors and musicians, and dance as a collaborative art form, promoting the Wagnerian concept of </w:t>
                </w:r>
                <w:proofErr w:type="spellStart"/>
                <w:r>
                  <w:rPr>
                    <w:i/>
                  </w:rPr>
                  <w:t>Gesamtkunstwerk</w:t>
                </w:r>
                <w:proofErr w:type="spellEnd"/>
                <w:r>
                  <w:rPr>
                    <w:i/>
                  </w:rPr>
                  <w:t xml:space="preserve">. </w:t>
                </w:r>
                <w:r>
                  <w:t xml:space="preserve">During the interwar period, Spencer made significant and pioneering contributions to British theatre dance and wider cultural heritage, while incorporating progressive philosophies into her choreography and teaching.   </w:t>
                </w:r>
              </w:p>
            </w:tc>
          </w:sdtContent>
        </w:sdt>
      </w:tr>
      <w:tr w:rsidR="003F0D73" w14:paraId="5E05147A" w14:textId="77777777" w:rsidTr="003F0D73">
        <w:sdt>
          <w:sdtPr>
            <w:alias w:val="Article text"/>
            <w:tag w:val="articleText"/>
            <w:id w:val="634067588"/>
            <w:placeholder>
              <w:docPart w:val="9A6406F8B3EF784A8A9170532567657F"/>
            </w:placeholder>
          </w:sdtPr>
          <w:sdtContent>
            <w:tc>
              <w:tcPr>
                <w:tcW w:w="9016" w:type="dxa"/>
                <w:tcMar>
                  <w:top w:w="113" w:type="dxa"/>
                  <w:bottom w:w="113" w:type="dxa"/>
                </w:tcMar>
              </w:tcPr>
              <w:p w14:paraId="66565330" w14:textId="40BF94E0" w:rsidR="00152371" w:rsidRDefault="00F406EE" w:rsidP="00F406EE">
                <w:pPr>
                  <w:widowControl w:val="0"/>
                </w:pPr>
                <w:sdt>
                  <w:sdtPr>
                    <w:alias w:val="Abstract"/>
                    <w:tag w:val="abstract"/>
                    <w:id w:val="-1915627809"/>
                    <w:placeholder>
                      <w:docPart w:val="C1F095F61BAC9B458FE54D11A820E283"/>
                    </w:placeholder>
                  </w:sdtPr>
                  <w:sdtContent>
                    <w:r>
                      <w:t xml:space="preserve">The career of the English ‘creative’ dancer, choreographer, teacher and dance writer Penelope Spencer spanned the period between the First and Second World Wars. Spencer’s versatile training and career encompassed diverse British theatre genres, including ballet, drama, mime, modern dance, musical comedy, opera, pantomime and revue. She practised consecutively as a freelance artist and under the auspices of enlightened cultural institutions, including the Arts Theatre Club, British Broadcasting Corporation, British National Opera Company, Camargo Society, Glastonbury Festival, Royal Academy of Dramatic Art, and Royal College of Music. Her published articles explored the relationship between dance and music, the importance of dance to actors and musicians, and dance as a collaborative art form, promoting the Wagnerian concept of </w:t>
                    </w:r>
                    <w:proofErr w:type="spellStart"/>
                    <w:r>
                      <w:rPr>
                        <w:i/>
                      </w:rPr>
                      <w:t>Gesamtkunstwerk</w:t>
                    </w:r>
                    <w:proofErr w:type="spellEnd"/>
                    <w:r>
                      <w:rPr>
                        <w:i/>
                      </w:rPr>
                      <w:t xml:space="preserve">. </w:t>
                    </w:r>
                    <w:r>
                      <w:t xml:space="preserve">During the interwar period, Spencer made significant and pioneering contributions to British theatre dance and wider cultural heritage, while incorporating progressive philosophies into her choreography and teaching.   </w:t>
                    </w:r>
                  </w:sdtContent>
                </w:sdt>
              </w:p>
              <w:p w14:paraId="339BA99B" w14:textId="77777777" w:rsidR="00F406EE" w:rsidRDefault="00F406EE" w:rsidP="00F406EE">
                <w:pPr>
                  <w:widowControl w:val="0"/>
                </w:pPr>
              </w:p>
              <w:p w14:paraId="18C241CA" w14:textId="77777777" w:rsidR="00152371" w:rsidRDefault="00152371" w:rsidP="00F406EE">
                <w:pPr>
                  <w:pStyle w:val="Heading1"/>
                  <w:outlineLvl w:val="0"/>
                </w:pPr>
                <w:r>
                  <w:t>Training</w:t>
                </w:r>
              </w:p>
              <w:p w14:paraId="365510FD" w14:textId="5996D515" w:rsidR="00152371" w:rsidRDefault="00152371" w:rsidP="005B2645">
                <w:pPr>
                  <w:widowControl w:val="0"/>
                </w:pPr>
                <w:r>
                  <w:t>As a child, Spencer was influenced by the Canadian</w:t>
                </w:r>
                <w:r w:rsidR="00993158">
                  <w:t>,</w:t>
                </w:r>
                <w:r>
                  <w:t xml:space="preserve"> barefoot dancer Maud Allan (1873-1956) and the Russian balle</w:t>
                </w:r>
                <w:r w:rsidR="00993158">
                  <w:t xml:space="preserve">rina Anna </w:t>
                </w:r>
                <w:proofErr w:type="spellStart"/>
                <w:r w:rsidR="00993158">
                  <w:t>Pavlova</w:t>
                </w:r>
                <w:proofErr w:type="spellEnd"/>
                <w:r w:rsidR="00993158">
                  <w:t xml:space="preserve"> (1881-1931). </w:t>
                </w:r>
                <w:r>
                  <w:t>She commenced ballet training around 1912 with Aimee Phipps, a British teacher who studied wit</w:t>
                </w:r>
                <w:r w:rsidR="00993158">
                  <w:t xml:space="preserve">h Enrico </w:t>
                </w:r>
                <w:proofErr w:type="spellStart"/>
                <w:r w:rsidR="00993158">
                  <w:t>Cecchetti</w:t>
                </w:r>
                <w:proofErr w:type="spellEnd"/>
                <w:r w:rsidR="00993158">
                  <w:t xml:space="preserve"> (1850-1928). She </w:t>
                </w:r>
                <w:r>
                  <w:t xml:space="preserve">also studied with the Russian ballerina Alexandra </w:t>
                </w:r>
                <w:proofErr w:type="spellStart"/>
                <w:r>
                  <w:t>Baldina</w:t>
                </w:r>
                <w:proofErr w:type="spellEnd"/>
                <w:r>
                  <w:t xml:space="preserve"> (1885-1977) </w:t>
                </w:r>
                <w:r w:rsidR="00993158">
                  <w:t>and at the Italia Conti School.</w:t>
                </w:r>
                <w:r>
                  <w:t xml:space="preserve"> In 1916, she became a pupil of Margaret Morris (1891-1980), who developed and taught a more natural dance technique than that of classical ballet, learning costume design </w:t>
                </w:r>
                <w:commentRangeStart w:id="0"/>
                <w:r>
                  <w:t>‘as Margaret Morris taught her – co</w:t>
                </w:r>
                <w:r w:rsidR="00993158">
                  <w:t>stumes echo shapes of scenery</w:t>
                </w:r>
                <w:r w:rsidR="00F406EE">
                  <w:t>.</w:t>
                </w:r>
                <w:r w:rsidR="00993158">
                  <w:t>’</w:t>
                </w:r>
                <w:commentRangeEnd w:id="0"/>
                <w:r w:rsidR="00F406EE">
                  <w:rPr>
                    <w:rStyle w:val="CommentReference"/>
                  </w:rPr>
                  <w:commentReference w:id="0"/>
                </w:r>
                <w:r w:rsidR="00993158">
                  <w:t xml:space="preserve"> She also learnt </w:t>
                </w:r>
                <w:r>
                  <w:t>how to choreograph and perform solo and group dance</w:t>
                </w:r>
                <w:r w:rsidR="00993158">
                  <w:t xml:space="preserve">s to songs, chamber music </w:t>
                </w:r>
                <w:r>
                  <w:t xml:space="preserve">and music of a diverse range of British and foreign </w:t>
                </w:r>
                <w:r>
                  <w:lastRenderedPageBreak/>
                  <w:t>composers, from Ethel Smyth, a rare British female composer in</w:t>
                </w:r>
                <w:r w:rsidR="00993158">
                  <w:t xml:space="preserve"> the 1920s, to Igor Stravinsky.</w:t>
                </w:r>
                <w:r>
                  <w:t xml:space="preserve"> In 1918, Spencer began to study with the Russian teacher </w:t>
                </w:r>
                <w:proofErr w:type="spellStart"/>
                <w:r>
                  <w:t>Serafina</w:t>
                </w:r>
                <w:proofErr w:type="spellEnd"/>
                <w:r>
                  <w:t xml:space="preserve"> </w:t>
                </w:r>
                <w:proofErr w:type="spellStart"/>
                <w:r>
                  <w:t>Astafieva</w:t>
                </w:r>
                <w:proofErr w:type="spellEnd"/>
                <w:r>
                  <w:t xml:space="preserve"> (1876-1934), who was celebrated for her mime and whose influence on Spencer was profound.  </w:t>
                </w:r>
              </w:p>
              <w:p w14:paraId="0A7967F7" w14:textId="77777777" w:rsidR="005B2645" w:rsidRDefault="005B2645" w:rsidP="005B2645">
                <w:pPr>
                  <w:widowControl w:val="0"/>
                </w:pPr>
              </w:p>
              <w:p w14:paraId="787988F5" w14:textId="77777777" w:rsidR="00152371" w:rsidRDefault="00152371" w:rsidP="005B2645">
                <w:pPr>
                  <w:pStyle w:val="Heading1"/>
                  <w:outlineLvl w:val="0"/>
                </w:pPr>
                <w:r>
                  <w:t>Contributions to British Dance and Modernism</w:t>
                </w:r>
              </w:p>
              <w:p w14:paraId="6988110B" w14:textId="57747150" w:rsidR="00152371" w:rsidRDefault="00152371" w:rsidP="00F406EE">
                <w:pPr>
                  <w:widowControl w:val="0"/>
                </w:pPr>
                <w:r>
                  <w:t xml:space="preserve">A </w:t>
                </w:r>
                <w:commentRangeStart w:id="1"/>
                <w:r>
                  <w:t>‘creative dancer eager for experiment</w:t>
                </w:r>
                <w:r w:rsidR="00F406EE">
                  <w:t>,</w:t>
                </w:r>
                <w:r>
                  <w:t xml:space="preserve">’ </w:t>
                </w:r>
                <w:commentRangeEnd w:id="1"/>
                <w:r w:rsidR="00F406EE">
                  <w:rPr>
                    <w:rStyle w:val="CommentReference"/>
                  </w:rPr>
                  <w:commentReference w:id="1"/>
                </w:r>
                <w:r>
                  <w:t xml:space="preserve">Spencer choreographed several dances influenced by African-American culture of the period: </w:t>
                </w:r>
                <w:r>
                  <w:rPr>
                    <w:i/>
                  </w:rPr>
                  <w:t>Cake-Walk</w:t>
                </w:r>
                <w:r>
                  <w:t xml:space="preserve"> (1920), a jazz-style dance to Debussy’s </w:t>
                </w:r>
                <w:r>
                  <w:rPr>
                    <w:i/>
                  </w:rPr>
                  <w:t>Golliwog’s Cake Walk;</w:t>
                </w:r>
                <w:r>
                  <w:t xml:space="preserve"> </w:t>
                </w:r>
                <w:r>
                  <w:rPr>
                    <w:i/>
                  </w:rPr>
                  <w:t>Nigger Heaven</w:t>
                </w:r>
                <w:r>
                  <w:t xml:space="preserve"> (1927), based on Carl Van </w:t>
                </w:r>
                <w:proofErr w:type="spellStart"/>
                <w:r>
                  <w:t>Vechten’s</w:t>
                </w:r>
                <w:proofErr w:type="spellEnd"/>
                <w:r>
                  <w:t xml:space="preserve"> 1926 novel of the same title; and </w:t>
                </w:r>
                <w:r>
                  <w:rPr>
                    <w:i/>
                  </w:rPr>
                  <w:t>Elegiac Blues</w:t>
                </w:r>
                <w:r>
                  <w:t xml:space="preserve"> (1928), composed for her by Constant Lambert in memory of Florence Mill</w:t>
                </w:r>
                <w:r w:rsidR="00993158">
                  <w:t xml:space="preserve">s (1896-1927) among them. </w:t>
                </w:r>
                <w:r>
                  <w:t xml:space="preserve">Through dance, Spencer promoted an awareness of social and racial prejudices, incorporating this awareness into solo and group recital work, making audiences </w:t>
                </w:r>
                <w:commentRangeStart w:id="2"/>
                <w:r>
                  <w:t>‘think, laugh, cry, without the intervention of a word</w:t>
                </w:r>
                <w:r w:rsidR="00F406EE">
                  <w:t>.</w:t>
                </w:r>
                <w:r>
                  <w:t xml:space="preserve">’ </w:t>
                </w:r>
                <w:commentRangeEnd w:id="2"/>
                <w:r w:rsidR="00F406EE">
                  <w:rPr>
                    <w:rStyle w:val="CommentReference"/>
                  </w:rPr>
                  <w:commentReference w:id="2"/>
                </w:r>
              </w:p>
              <w:p w14:paraId="2402BE85" w14:textId="77777777" w:rsidR="00152371" w:rsidRDefault="00152371" w:rsidP="00F406EE">
                <w:pPr>
                  <w:widowControl w:val="0"/>
                </w:pPr>
              </w:p>
              <w:p w14:paraId="1853C0E5" w14:textId="6093D5CF" w:rsidR="00152371" w:rsidRDefault="00152371" w:rsidP="00F406EE">
                <w:pPr>
                  <w:widowControl w:val="0"/>
                </w:pPr>
                <w:r>
                  <w:t>Spencer often expressed social and p</w:t>
                </w:r>
                <w:r w:rsidR="00993158">
                  <w:t>olitical satire through the use of mime.</w:t>
                </w:r>
                <w:r>
                  <w:t xml:space="preserve"> </w:t>
                </w:r>
                <w:r>
                  <w:rPr>
                    <w:i/>
                  </w:rPr>
                  <w:t xml:space="preserve">General </w:t>
                </w:r>
                <w:proofErr w:type="spellStart"/>
                <w:r>
                  <w:rPr>
                    <w:i/>
                  </w:rPr>
                  <w:t>Lavine</w:t>
                </w:r>
                <w:proofErr w:type="spellEnd"/>
                <w:r>
                  <w:rPr>
                    <w:i/>
                  </w:rPr>
                  <w:t xml:space="preserve"> Eccentric!</w:t>
                </w:r>
                <w:r w:rsidR="00993158">
                  <w:t xml:space="preserve"> (1921) </w:t>
                </w:r>
                <w:proofErr w:type="gramStart"/>
                <w:r w:rsidR="00993158">
                  <w:t>was</w:t>
                </w:r>
                <w:proofErr w:type="gramEnd"/>
                <w:r w:rsidR="00993158">
                  <w:t xml:space="preserve"> a </w:t>
                </w:r>
                <w:commentRangeStart w:id="3"/>
                <w:r w:rsidR="00993158">
                  <w:t>‘grotesque dance,’ a satire Toulouse-Lautrec considered</w:t>
                </w:r>
                <w:r>
                  <w:t xml:space="preserve"> ‘not the sor</w:t>
                </w:r>
                <w:r w:rsidR="00993158">
                  <w:t xml:space="preserve">t of dance a woman could do!’ </w:t>
                </w:r>
                <w:commentRangeEnd w:id="3"/>
                <w:r w:rsidR="00F406EE">
                  <w:rPr>
                    <w:rStyle w:val="CommentReference"/>
                  </w:rPr>
                  <w:commentReference w:id="3"/>
                </w:r>
                <w:r>
                  <w:rPr>
                    <w:i/>
                  </w:rPr>
                  <w:t xml:space="preserve">The Death of Columbine </w:t>
                </w:r>
                <w:r>
                  <w:t xml:space="preserve">(1921), a dance-play, featured </w:t>
                </w:r>
                <w:r>
                  <w:rPr>
                    <w:i/>
                  </w:rPr>
                  <w:t xml:space="preserve">commedia </w:t>
                </w:r>
                <w:proofErr w:type="spellStart"/>
                <w:r>
                  <w:rPr>
                    <w:i/>
                  </w:rPr>
                  <w:t>dell’arte</w:t>
                </w:r>
                <w:proofErr w:type="spellEnd"/>
                <w:r>
                  <w:t xml:space="preserve"> characters using satire to communic</w:t>
                </w:r>
                <w:r w:rsidR="00993158">
                  <w:t>ate a serious anti-war message.</w:t>
                </w:r>
                <w:r>
                  <w:t xml:space="preserve"> In 1924, Spencer choreographed </w:t>
                </w:r>
                <w:r>
                  <w:rPr>
                    <w:i/>
                  </w:rPr>
                  <w:t>Dance of Death</w:t>
                </w:r>
                <w:r>
                  <w:t xml:space="preserve"> in Ernst Toller’s German expressionist drama, </w:t>
                </w:r>
                <w:r>
                  <w:rPr>
                    <w:i/>
                  </w:rPr>
                  <w:t>Man and the Masses</w:t>
                </w:r>
                <w:r>
                  <w:t xml:space="preserve"> (1919), treating choral movements as dramatically rather than decoratively important for this </w:t>
                </w:r>
                <w:commentRangeStart w:id="4"/>
                <w:r w:rsidR="00993158">
                  <w:t>‘grimly expressionist ballet</w:t>
                </w:r>
                <w:r w:rsidR="00F406EE">
                  <w:t>.</w:t>
                </w:r>
                <w:r w:rsidR="00993158">
                  <w:t xml:space="preserve">’ </w:t>
                </w:r>
                <w:commentRangeEnd w:id="4"/>
                <w:r w:rsidR="00F406EE">
                  <w:rPr>
                    <w:rStyle w:val="CommentReference"/>
                  </w:rPr>
                  <w:commentReference w:id="4"/>
                </w:r>
                <w:r>
                  <w:t xml:space="preserve">The work was given under the auspices of the Incorporated Stage Society, founded to produce plays unpopular with commercial theatre managers and to protest the Lord Chamberlain’s censorship laws. The </w:t>
                </w:r>
                <w:r>
                  <w:rPr>
                    <w:i/>
                  </w:rPr>
                  <w:t>Angels Ballet</w:t>
                </w:r>
                <w:r>
                  <w:t xml:space="preserve"> was created for a politically charged production of Rutland </w:t>
                </w:r>
                <w:proofErr w:type="spellStart"/>
                <w:r>
                  <w:t>Boughton’s</w:t>
                </w:r>
                <w:proofErr w:type="spellEnd"/>
                <w:r>
                  <w:t xml:space="preserve"> 1915 </w:t>
                </w:r>
                <w:proofErr w:type="gramStart"/>
                <w:r>
                  <w:t>music-drama</w:t>
                </w:r>
                <w:proofErr w:type="gramEnd"/>
                <w:r>
                  <w:t xml:space="preserve">, </w:t>
                </w:r>
                <w:r>
                  <w:rPr>
                    <w:i/>
                  </w:rPr>
                  <w:t>Bethlehem</w:t>
                </w:r>
                <w:r>
                  <w:t xml:space="preserve">, which was performed during the 1926 General Strike. In this ballet, Christ was born in </w:t>
                </w:r>
                <w:r w:rsidR="00993158">
                  <w:t xml:space="preserve">a miner’s cottage and </w:t>
                </w:r>
                <w:proofErr w:type="gramStart"/>
                <w:r w:rsidR="00993158">
                  <w:t xml:space="preserve">Herod was </w:t>
                </w:r>
                <w:r>
                  <w:t>guarded by armed soldiers</w:t>
                </w:r>
                <w:proofErr w:type="gramEnd"/>
                <w:r>
                  <w:t xml:space="preserve">. A further spirit of political rebellion in 1926, </w:t>
                </w:r>
                <w:r>
                  <w:rPr>
                    <w:i/>
                  </w:rPr>
                  <w:t>The Midnight Follies</w:t>
                </w:r>
                <w:r>
                  <w:t>, a ‘Dinner-Time Revue</w:t>
                </w:r>
                <w:r w:rsidR="00F406EE">
                  <w:t>,</w:t>
                </w:r>
                <w:r>
                  <w:t xml:space="preserve">’ was </w:t>
                </w:r>
                <w:commentRangeStart w:id="5"/>
                <w:r>
                  <w:t>‘an entirely new note in cabaret</w:t>
                </w:r>
                <w:r w:rsidR="00F406EE">
                  <w:t>,</w:t>
                </w:r>
                <w:r>
                  <w:t xml:space="preserve">’ </w:t>
                </w:r>
                <w:commentRangeEnd w:id="5"/>
                <w:r w:rsidR="00F406EE">
                  <w:rPr>
                    <w:rStyle w:val="CommentReference"/>
                  </w:rPr>
                  <w:commentReference w:id="5"/>
                </w:r>
                <w:r>
                  <w:t xml:space="preserve">causing controversy by avoiding the Government’s entertainment tax.     </w:t>
                </w:r>
              </w:p>
              <w:p w14:paraId="601BDD18" w14:textId="77777777" w:rsidR="00152371" w:rsidRDefault="00152371" w:rsidP="00F406EE">
                <w:pPr>
                  <w:widowControl w:val="0"/>
                </w:pPr>
              </w:p>
              <w:p w14:paraId="27FDBBA2" w14:textId="45E3029B" w:rsidR="00152371" w:rsidRDefault="00152371" w:rsidP="00F406EE">
                <w:pPr>
                  <w:widowControl w:val="0"/>
                </w:pPr>
                <w:r>
                  <w:t xml:space="preserve">Spencer collaborated with numerous avant-garde British opera and dance organisations of the interwar years. Between 1921 and 1927 she choreographed </w:t>
                </w:r>
                <w:proofErr w:type="gramStart"/>
                <w:r>
                  <w:t>music-dramas</w:t>
                </w:r>
                <w:proofErr w:type="gramEnd"/>
                <w:r>
                  <w:t xml:space="preserve"> for the Glastonbury Festival, whose founder, Rutland </w:t>
                </w:r>
                <w:proofErr w:type="spellStart"/>
                <w:r>
                  <w:t>Boughton</w:t>
                </w:r>
                <w:proofErr w:type="spellEnd"/>
                <w:r>
                  <w:t xml:space="preserve">, made an early attempt at arguing for a </w:t>
                </w:r>
                <w:commentRangeStart w:id="6"/>
                <w:r>
                  <w:t>‘National Theatre for the production and development of British music-drama</w:t>
                </w:r>
                <w:r w:rsidR="005B2645">
                  <w:t>.</w:t>
                </w:r>
                <w:r>
                  <w:t xml:space="preserve">’ </w:t>
                </w:r>
                <w:commentRangeEnd w:id="6"/>
                <w:r w:rsidR="005B2645">
                  <w:rPr>
                    <w:rStyle w:val="CommentReference"/>
                  </w:rPr>
                  <w:commentReference w:id="6"/>
                </w:r>
                <w:r>
                  <w:t xml:space="preserve">She re-choreographed Morris’s dances for </w:t>
                </w:r>
                <w:proofErr w:type="spellStart"/>
                <w:r>
                  <w:t>Boughton’s</w:t>
                </w:r>
                <w:proofErr w:type="spellEnd"/>
                <w:r>
                  <w:t xml:space="preserve"> </w:t>
                </w:r>
                <w:r>
                  <w:rPr>
                    <w:i/>
                  </w:rPr>
                  <w:t>The Immortal Hour</w:t>
                </w:r>
                <w:r>
                  <w:t xml:space="preserve"> (1914), featuring the symbolic use of the chorus to represent wa</w:t>
                </w:r>
                <w:r w:rsidR="00993158">
                  <w:t xml:space="preserve">ves, a castle and tree spirits. In 1922, she joined the newly </w:t>
                </w:r>
                <w:r>
                  <w:t xml:space="preserve">founded British National Opera Company (BNOC), staging indigenous and foreign operas in English until 1929. Spencer choreographed the </w:t>
                </w:r>
                <w:proofErr w:type="spellStart"/>
                <w:r>
                  <w:t>Bacchanale</w:t>
                </w:r>
                <w:proofErr w:type="spellEnd"/>
                <w:r>
                  <w:t xml:space="preserve"> and </w:t>
                </w:r>
                <w:proofErr w:type="spellStart"/>
                <w:r>
                  <w:t>Venusberg</w:t>
                </w:r>
                <w:proofErr w:type="spellEnd"/>
                <w:r>
                  <w:t xml:space="preserve"> scene from </w:t>
                </w:r>
                <w:proofErr w:type="spellStart"/>
                <w:r>
                  <w:rPr>
                    <w:i/>
                  </w:rPr>
                  <w:t>Tannhauser</w:t>
                </w:r>
                <w:proofErr w:type="spellEnd"/>
                <w:r>
                  <w:t xml:space="preserve"> in 1923 for a cast of fifty at the London Coliseum, </w:t>
                </w:r>
                <w:commentRangeStart w:id="7"/>
                <w:r>
                  <w:t>‘the first time a scene from a Wagner opera has bee</w:t>
                </w:r>
                <w:r w:rsidR="00993158">
                  <w:t xml:space="preserve">n given in a London music hall,’ </w:t>
                </w:r>
                <w:commentRangeEnd w:id="7"/>
                <w:r w:rsidR="005B2645">
                  <w:rPr>
                    <w:rStyle w:val="CommentReference"/>
                  </w:rPr>
                  <w:commentReference w:id="7"/>
                </w:r>
                <w:r w:rsidR="00993158">
                  <w:t xml:space="preserve">as an approving critic noted. </w:t>
                </w:r>
                <w:r>
                  <w:t xml:space="preserve">In 1926, she choreographed Jean-Georges </w:t>
                </w:r>
                <w:proofErr w:type="spellStart"/>
                <w:r>
                  <w:t>Noverre’s</w:t>
                </w:r>
                <w:proofErr w:type="spellEnd"/>
                <w:r>
                  <w:t xml:space="preserve"> </w:t>
                </w:r>
                <w:r>
                  <w:rPr>
                    <w:i/>
                  </w:rPr>
                  <w:t xml:space="preserve">Les </w:t>
                </w:r>
                <w:proofErr w:type="spellStart"/>
                <w:r>
                  <w:rPr>
                    <w:i/>
                  </w:rPr>
                  <w:t>Petits</w:t>
                </w:r>
                <w:proofErr w:type="spellEnd"/>
                <w:r>
                  <w:rPr>
                    <w:i/>
                  </w:rPr>
                  <w:t xml:space="preserve"> </w:t>
                </w:r>
                <w:proofErr w:type="spellStart"/>
                <w:r>
                  <w:rPr>
                    <w:i/>
                  </w:rPr>
                  <w:t>Riens</w:t>
                </w:r>
                <w:proofErr w:type="spellEnd"/>
                <w:r>
                  <w:t xml:space="preserve"> (1778), the BNOC’s first complete ballet, emphasising the company’s high regard for dance</w:t>
                </w:r>
                <w:r w:rsidR="00993158">
                  <w:t>,</w:t>
                </w:r>
                <w:r>
                  <w:t xml:space="preserve"> evidenced by the re-titling of its publication </w:t>
                </w:r>
                <w:r>
                  <w:rPr>
                    <w:i/>
                  </w:rPr>
                  <w:t>Opera</w:t>
                </w:r>
                <w:r>
                  <w:t xml:space="preserve"> to </w:t>
                </w:r>
                <w:r>
                  <w:rPr>
                    <w:i/>
                  </w:rPr>
                  <w:t>Opera and the Ballet</w:t>
                </w:r>
                <w:r>
                  <w:t xml:space="preserve"> in 1924.  </w:t>
                </w:r>
              </w:p>
              <w:p w14:paraId="4C140E7E" w14:textId="7E5A32F0" w:rsidR="00152371" w:rsidRDefault="00D9309C" w:rsidP="00F406EE">
                <w:pPr>
                  <w:widowControl w:val="0"/>
                </w:pPr>
                <w:r>
                  <w:t xml:space="preserve">           </w:t>
                </w:r>
              </w:p>
              <w:p w14:paraId="65612AD4" w14:textId="77777777" w:rsidR="00D9309C" w:rsidRDefault="00D9309C" w:rsidP="00F406EE">
                <w:pPr>
                  <w:widowControl w:val="0"/>
                </w:pPr>
                <w:r>
                  <w:t>Fig:</w:t>
                </w:r>
              </w:p>
              <w:p w14:paraId="3DBAC1B3" w14:textId="0D5E4D35" w:rsidR="00D9309C" w:rsidRPr="00D9309C" w:rsidRDefault="00D9309C" w:rsidP="00F406EE">
                <w:pPr>
                  <w:rPr>
                    <w:color w:val="5B9BD5" w:themeColor="accent1"/>
                    <w:sz w:val="20"/>
                    <w:szCs w:val="20"/>
                    <w:lang w:val="en-US"/>
                  </w:rPr>
                </w:pPr>
                <w:r w:rsidRPr="00D9309C">
                  <w:rPr>
                    <w:i/>
                    <w:iCs/>
                    <w:color w:val="5B9BD5" w:themeColor="accent1"/>
                    <w:sz w:val="20"/>
                    <w:szCs w:val="20"/>
                    <w:lang w:val="en-US"/>
                  </w:rPr>
                  <w:t>Hornpipe</w:t>
                </w:r>
                <w:r w:rsidRPr="00D9309C">
                  <w:rPr>
                    <w:color w:val="5B9BD5" w:themeColor="accent1"/>
                    <w:sz w:val="20"/>
                    <w:szCs w:val="20"/>
                    <w:lang w:val="en-US"/>
                  </w:rPr>
                  <w:t xml:space="preserve"> (1922), choreographed for the League of Arts, composed by Rutland </w:t>
                </w:r>
                <w:proofErr w:type="spellStart"/>
                <w:r w:rsidRPr="00D9309C">
                  <w:rPr>
                    <w:color w:val="5B9BD5" w:themeColor="accent1"/>
                    <w:sz w:val="20"/>
                    <w:szCs w:val="20"/>
                    <w:lang w:val="en-US"/>
                  </w:rPr>
                  <w:t>Boughton</w:t>
                </w:r>
                <w:proofErr w:type="spellEnd"/>
                <w:r w:rsidRPr="00D9309C">
                  <w:rPr>
                    <w:color w:val="5B9BD5" w:themeColor="accent1"/>
                    <w:sz w:val="20"/>
                    <w:szCs w:val="20"/>
                    <w:lang w:val="en-US"/>
                  </w:rPr>
                  <w:t>.  Photograph by Bertram Park, London.</w:t>
                </w:r>
                <w:r>
                  <w:rPr>
                    <w:color w:val="5B9BD5" w:themeColor="accent1"/>
                    <w:sz w:val="20"/>
                    <w:szCs w:val="20"/>
                    <w:lang w:val="en-US"/>
                  </w:rPr>
                  <w:t xml:space="preserve"> </w:t>
                </w:r>
                <w:r w:rsidRPr="00D9309C">
                  <w:rPr>
                    <w:color w:val="5B9BD5" w:themeColor="accent1"/>
                    <w:sz w:val="20"/>
                    <w:szCs w:val="20"/>
                    <w:lang w:val="en-US"/>
                  </w:rPr>
                  <w:t>Source: Penelope Spencer Family Collection</w:t>
                </w:r>
              </w:p>
              <w:p w14:paraId="766AE5FD" w14:textId="77777777" w:rsidR="00D9309C" w:rsidRDefault="00D9309C" w:rsidP="00F406EE">
                <w:pPr>
                  <w:widowControl w:val="0"/>
                </w:pPr>
              </w:p>
              <w:p w14:paraId="387CCD0B" w14:textId="6CDA1109" w:rsidR="00152371" w:rsidRDefault="00152371" w:rsidP="00F406EE">
                <w:pPr>
                  <w:widowControl w:val="0"/>
                </w:pPr>
                <w:r>
                  <w:t>Spencer established a ballet class for Royal College of Music (RCM) students in 1923 and during the sixteen years</w:t>
                </w:r>
                <w:r w:rsidR="005B2645">
                  <w:t xml:space="preserve"> that followed</w:t>
                </w:r>
                <w:r>
                  <w:t xml:space="preserve"> choreographed RCM productions of works by notable British composers, including Ralph Vaughan Williams’ </w:t>
                </w:r>
                <w:r>
                  <w:rPr>
                    <w:i/>
                  </w:rPr>
                  <w:t>Hugh the Drover</w:t>
                </w:r>
                <w:r>
                  <w:t xml:space="preserve"> (1924) and </w:t>
                </w:r>
                <w:r>
                  <w:rPr>
                    <w:i/>
                  </w:rPr>
                  <w:t>Sir John in Love</w:t>
                </w:r>
                <w:r>
                  <w:t xml:space="preserve"> (1930), and Lord Berners’ </w:t>
                </w:r>
                <w:r>
                  <w:rPr>
                    <w:i/>
                  </w:rPr>
                  <w:t>Funeral March on the Death of a Rich Aunt</w:t>
                </w:r>
                <w:r>
                  <w:t xml:space="preserve"> (1924). Spencer performed </w:t>
                </w:r>
                <w:r>
                  <w:rPr>
                    <w:i/>
                  </w:rPr>
                  <w:t xml:space="preserve">Funeral </w:t>
                </w:r>
                <w:r>
                  <w:rPr>
                    <w:i/>
                  </w:rPr>
                  <w:lastRenderedPageBreak/>
                  <w:t>March</w:t>
                </w:r>
                <w:r>
                  <w:t xml:space="preserve"> and </w:t>
                </w:r>
                <w:proofErr w:type="spellStart"/>
                <w:r>
                  <w:rPr>
                    <w:i/>
                  </w:rPr>
                  <w:t>Laideronette</w:t>
                </w:r>
                <w:proofErr w:type="spellEnd"/>
                <w:r>
                  <w:t xml:space="preserve"> (1929), to </w:t>
                </w:r>
                <w:r w:rsidR="00D57CB5">
                  <w:t xml:space="preserve">the </w:t>
                </w:r>
                <w:r>
                  <w:t xml:space="preserve">music of Ravel, on BBC television in 1932, thus becoming one of the first British dancers to appear in the new medium. In 1930, she reprised one of her RCM dances for the inaugural performance of the Camargo Society, of which she was a founding member, and two years later contributed </w:t>
                </w:r>
                <w:r>
                  <w:rPr>
                    <w:i/>
                  </w:rPr>
                  <w:t xml:space="preserve">The </w:t>
                </w:r>
                <w:proofErr w:type="spellStart"/>
                <w:r>
                  <w:rPr>
                    <w:i/>
                  </w:rPr>
                  <w:t>Infanta’s</w:t>
                </w:r>
                <w:proofErr w:type="spellEnd"/>
                <w:r>
                  <w:rPr>
                    <w:i/>
                  </w:rPr>
                  <w:t xml:space="preserve"> Birthday </w:t>
                </w:r>
                <w:r>
                  <w:t xml:space="preserve">(with Rex Whistler’s first theatre designs) to the Society’s repertoire. In 1926, Spencer contributed to the first (and only) performance of the </w:t>
                </w:r>
                <w:proofErr w:type="spellStart"/>
                <w:r>
                  <w:t>Cremorne</w:t>
                </w:r>
                <w:proofErr w:type="spellEnd"/>
                <w:r>
                  <w:t xml:space="preserve"> Company, </w:t>
                </w:r>
                <w:commentRangeStart w:id="8"/>
                <w:r>
                  <w:t>‘one of many early attempts to form a British ballet company</w:t>
                </w:r>
                <w:r w:rsidR="005B2645">
                  <w:t>.</w:t>
                </w:r>
                <w:r>
                  <w:t>’</w:t>
                </w:r>
                <w:commentRangeEnd w:id="8"/>
                <w:r w:rsidR="005B2645">
                  <w:rPr>
                    <w:rStyle w:val="CommentReference"/>
                  </w:rPr>
                  <w:commentReference w:id="8"/>
                </w:r>
              </w:p>
              <w:p w14:paraId="26D2ED99" w14:textId="77777777" w:rsidR="00152371" w:rsidRDefault="00152371" w:rsidP="00F406EE">
                <w:pPr>
                  <w:widowControl w:val="0"/>
                </w:pPr>
              </w:p>
              <w:p w14:paraId="337BD6FE" w14:textId="7501CC04" w:rsidR="00D9309C" w:rsidRDefault="00D9309C" w:rsidP="00F406EE">
                <w:pPr>
                  <w:widowControl w:val="0"/>
                </w:pPr>
                <w:commentRangeStart w:id="9"/>
                <w:r>
                  <w:t>Fig: No file included</w:t>
                </w:r>
                <w:commentRangeEnd w:id="9"/>
                <w:r>
                  <w:rPr>
                    <w:rStyle w:val="CommentReference"/>
                  </w:rPr>
                  <w:commentReference w:id="9"/>
                </w:r>
              </w:p>
              <w:p w14:paraId="7BA96893" w14:textId="77777777" w:rsidR="00D9309C" w:rsidRPr="00D9309C" w:rsidRDefault="00D9309C" w:rsidP="00F406EE">
                <w:pPr>
                  <w:rPr>
                    <w:color w:val="5B9BD5" w:themeColor="accent1"/>
                    <w:sz w:val="20"/>
                    <w:szCs w:val="20"/>
                    <w:lang w:val="en-US"/>
                  </w:rPr>
                </w:pPr>
                <w:r w:rsidRPr="00D9309C">
                  <w:rPr>
                    <w:i/>
                    <w:iCs/>
                    <w:color w:val="5B9BD5" w:themeColor="accent1"/>
                    <w:sz w:val="20"/>
                    <w:szCs w:val="20"/>
                    <w:lang w:val="en-US"/>
                  </w:rPr>
                  <w:t>Funeral March on the Death of a Rich Aunt</w:t>
                </w:r>
                <w:r w:rsidRPr="00D9309C">
                  <w:rPr>
                    <w:color w:val="5B9BD5" w:themeColor="accent1"/>
                    <w:sz w:val="20"/>
                    <w:szCs w:val="20"/>
                    <w:lang w:val="en-US"/>
                  </w:rPr>
                  <w:t xml:space="preserve"> (1924), composed by Lord Berners.  Photographer unknown.</w:t>
                </w:r>
              </w:p>
              <w:p w14:paraId="2D1DBEE6" w14:textId="77777777" w:rsidR="00D9309C" w:rsidRPr="00D9309C" w:rsidRDefault="00D9309C" w:rsidP="00F406EE">
                <w:pPr>
                  <w:rPr>
                    <w:color w:val="5B9BD5" w:themeColor="accent1"/>
                    <w:sz w:val="20"/>
                    <w:szCs w:val="20"/>
                    <w:lang w:val="en-US"/>
                  </w:rPr>
                </w:pPr>
                <w:r w:rsidRPr="00D9309C">
                  <w:rPr>
                    <w:color w:val="5B9BD5" w:themeColor="accent1"/>
                    <w:sz w:val="20"/>
                    <w:szCs w:val="20"/>
                    <w:lang w:val="en-US"/>
                  </w:rPr>
                  <w:t>Source: Penelope Spencer Family Collection</w:t>
                </w:r>
              </w:p>
              <w:p w14:paraId="0BE61002" w14:textId="77777777" w:rsidR="00D9309C" w:rsidRDefault="00D9309C" w:rsidP="00F406EE">
                <w:pPr>
                  <w:widowControl w:val="0"/>
                </w:pPr>
              </w:p>
              <w:p w14:paraId="04F1CED1" w14:textId="77777777" w:rsidR="00152371" w:rsidRDefault="00152371" w:rsidP="005B2645">
                <w:pPr>
                  <w:pStyle w:val="Heading1"/>
                  <w:outlineLvl w:val="0"/>
                </w:pPr>
                <w:r>
                  <w:t>Legacy</w:t>
                </w:r>
              </w:p>
              <w:p w14:paraId="4B97DF4C" w14:textId="1F9EC5C2" w:rsidR="00152371" w:rsidRDefault="00152371" w:rsidP="00F406EE">
                <w:r>
                  <w:t>Spencer led a diverse career in British theatre between the First and Second World Wars, influencing the development of British dance in forward-looking cultural institu</w:t>
                </w:r>
                <w:r w:rsidR="00D57CB5">
                  <w:t xml:space="preserve">tions of the inter-war period. </w:t>
                </w:r>
                <w:r>
                  <w:t>Many of her contributions wer</w:t>
                </w:r>
                <w:r w:rsidR="00D57CB5">
                  <w:t xml:space="preserve">e innovative. </w:t>
                </w:r>
                <w:r>
                  <w:t>Her recital dances often incorporated social and political satire and racial content, and challenged conventions of the time. She established dance classes for music and drama students and professionals, and choreographed ballet and opera productions in collaboration with both well-known and aspiring British composers and designers. She taught classes specialising in dance composition, focussing on the arrangement of steps, mime, music</w:t>
                </w:r>
                <w:r w:rsidR="004F4E11">
                  <w:t>,</w:t>
                </w:r>
                <w:r>
                  <w:t xml:space="preserve"> and design. Spencer’s writings provide a valuable understanding of her contribution to the relationship between choreography and music, articulate the importance of dance to non-dancers and the power of dance as a coll</w:t>
                </w:r>
                <w:r w:rsidR="00D57CB5">
                  <w:t>aborative art form, and promote</w:t>
                </w:r>
                <w:r>
                  <w:t xml:space="preserve"> the theory of </w:t>
                </w:r>
                <w:proofErr w:type="spellStart"/>
                <w:r>
                  <w:rPr>
                    <w:i/>
                  </w:rPr>
                  <w:t>Gesamtkunstwerk</w:t>
                </w:r>
                <w:proofErr w:type="spellEnd"/>
                <w:r>
                  <w:t>.</w:t>
                </w:r>
              </w:p>
              <w:p w14:paraId="1C5E495E" w14:textId="77777777" w:rsidR="00152371" w:rsidRDefault="00152371" w:rsidP="00F406EE"/>
              <w:p w14:paraId="68315E0F" w14:textId="48730F61" w:rsidR="00152371" w:rsidRPr="00D57CB5" w:rsidRDefault="00152371" w:rsidP="004F4E11">
                <w:pPr>
                  <w:pStyle w:val="Heading1"/>
                  <w:outlineLvl w:val="0"/>
                </w:pPr>
                <w:r w:rsidRPr="00D57CB5">
                  <w:rPr>
                    <w:rStyle w:val="normalchar1"/>
                    <w:rFonts w:asciiTheme="majorHAnsi" w:hAnsiTheme="majorHAnsi" w:cstheme="majorBidi"/>
                    <w:sz w:val="22"/>
                    <w:szCs w:val="32"/>
                  </w:rPr>
                  <w:t>Selected Writings</w:t>
                </w:r>
                <w:r w:rsidR="004F4E11">
                  <w:rPr>
                    <w:rStyle w:val="normalchar1"/>
                    <w:rFonts w:asciiTheme="majorHAnsi" w:hAnsiTheme="majorHAnsi" w:cstheme="majorBidi"/>
                    <w:sz w:val="22"/>
                    <w:szCs w:val="32"/>
                  </w:rPr>
                  <w:t>:</w:t>
                </w:r>
              </w:p>
              <w:p w14:paraId="48F24728" w14:textId="2C67C2DA" w:rsidR="00152371" w:rsidRDefault="00152371" w:rsidP="00F406EE">
                <w:r>
                  <w:t>(1922) ‘The Complex Art: What a Dancer Should Know</w:t>
                </w:r>
                <w:r w:rsidR="004F4E11">
                  <w:t>,</w:t>
                </w:r>
                <w:r>
                  <w:t xml:space="preserve">’ </w:t>
                </w:r>
                <w:r w:rsidRPr="00D57CB5">
                  <w:rPr>
                    <w:rStyle w:val="normalchar1"/>
                    <w:rFonts w:ascii="Calibri" w:eastAsiaTheme="majorEastAsia" w:hAnsi="Calibri"/>
                    <w:i/>
                    <w:iCs/>
                    <w:sz w:val="22"/>
                    <w:szCs w:val="22"/>
                  </w:rPr>
                  <w:t>Pall Mall &amp; Globe</w:t>
                </w:r>
                <w:r>
                  <w:t>, 7 July. (An early observation of the importance of music and design to dance composition</w:t>
                </w:r>
                <w:r w:rsidR="004F4E11">
                  <w:t>.</w:t>
                </w:r>
                <w:r>
                  <w:t xml:space="preserve">)  </w:t>
                </w:r>
              </w:p>
              <w:p w14:paraId="11A09DFB" w14:textId="77777777" w:rsidR="00152371" w:rsidRDefault="00152371" w:rsidP="00F406EE"/>
              <w:p w14:paraId="59D94E7E" w14:textId="221F78BE" w:rsidR="00152371" w:rsidRDefault="00152371" w:rsidP="00F406EE">
                <w:r>
                  <w:t>(1924) ‘Dancing Should be Made Compulsory</w:t>
                </w:r>
                <w:r w:rsidR="004F4E11">
                  <w:t>,</w:t>
                </w:r>
                <w:r>
                  <w:t xml:space="preserve">’ </w:t>
                </w:r>
                <w:r w:rsidRPr="00D57CB5">
                  <w:rPr>
                    <w:i/>
                  </w:rPr>
                  <w:t>Opera and the Ballet</w:t>
                </w:r>
                <w:r>
                  <w:t>, 2 (8): 26-28. (An explanation of the importance of dance to non-dancers in the theatre</w:t>
                </w:r>
                <w:r w:rsidR="004F4E11">
                  <w:t>.</w:t>
                </w:r>
                <w:r>
                  <w:t>)</w:t>
                </w:r>
              </w:p>
              <w:p w14:paraId="00A52D57" w14:textId="77777777" w:rsidR="00D57CB5" w:rsidRDefault="00D57CB5" w:rsidP="00F406EE"/>
              <w:p w14:paraId="5BC915DB" w14:textId="23AAF705" w:rsidR="00152371" w:rsidRDefault="00152371" w:rsidP="00F406EE">
                <w:r>
                  <w:t xml:space="preserve">(1928) ‘Solo Competitions: Miss Penelope Spencer raises an important musical point’, </w:t>
                </w:r>
                <w:r w:rsidRPr="00D57CB5">
                  <w:rPr>
                    <w:i/>
                  </w:rPr>
                  <w:t>Dancing Times</w:t>
                </w:r>
                <w:r>
                  <w:t>, (218): 191, 193. (A valuable understanding of Spencer’s contribution to the relationship between choreography and music</w:t>
                </w:r>
                <w:r w:rsidR="004F4E11">
                  <w:t>.</w:t>
                </w:r>
                <w:r>
                  <w:t>)</w:t>
                </w:r>
              </w:p>
              <w:p w14:paraId="4C5855B1" w14:textId="77777777" w:rsidR="00152371" w:rsidRDefault="00152371" w:rsidP="00F406EE"/>
              <w:p w14:paraId="73DC3227" w14:textId="70D33BC7" w:rsidR="00152371" w:rsidRDefault="00152371" w:rsidP="00F406EE">
                <w:r>
                  <w:t>(1929) ‘Dance Composition’</w:t>
                </w:r>
                <w:r w:rsidRPr="00D57CB5">
                  <w:rPr>
                    <w:i/>
                  </w:rPr>
                  <w:t xml:space="preserve">, Dance Journal, </w:t>
                </w:r>
                <w:r w:rsidRPr="00D57CB5">
                  <w:t>2</w:t>
                </w:r>
                <w:r w:rsidR="00D57CB5">
                  <w:t xml:space="preserve"> </w:t>
                </w:r>
                <w:r>
                  <w:t>(9): 353-55. (A discerning consideration for the formation of a National Ballet</w:t>
                </w:r>
                <w:r w:rsidR="004F4E11">
                  <w:t>.</w:t>
                </w:r>
                <w:r>
                  <w:t>)</w:t>
                </w:r>
              </w:p>
              <w:p w14:paraId="617CED9D" w14:textId="77777777" w:rsidR="00152371" w:rsidRDefault="00152371" w:rsidP="00F406EE"/>
              <w:p w14:paraId="10B48C29" w14:textId="322B9850" w:rsidR="00152371" w:rsidRDefault="00152371" w:rsidP="00F406EE">
                <w:r>
                  <w:t xml:space="preserve">(1929) ‘Dance Composition’, </w:t>
                </w:r>
                <w:r w:rsidRPr="00D57CB5">
                  <w:rPr>
                    <w:i/>
                  </w:rPr>
                  <w:t>Dancing Times</w:t>
                </w:r>
                <w:r>
                  <w:t>, (230): 146-47, 159. (An important look at the collaborative artistic elements of music, design and drama required for choreography</w:t>
                </w:r>
                <w:r w:rsidR="004F4E11">
                  <w:t>.</w:t>
                </w:r>
                <w:r>
                  <w:t>)</w:t>
                </w:r>
              </w:p>
              <w:p w14:paraId="7971B87D" w14:textId="77777777" w:rsidR="00152371" w:rsidRDefault="00152371" w:rsidP="00F406EE"/>
              <w:p w14:paraId="41470E86" w14:textId="069832FC" w:rsidR="003F0D73" w:rsidRDefault="00152371" w:rsidP="004F4E11">
                <w:r>
                  <w:t xml:space="preserve">(1984) ‘Touring in the Twenties’, </w:t>
                </w:r>
                <w:r w:rsidRPr="00D57CB5">
                  <w:rPr>
                    <w:i/>
                  </w:rPr>
                  <w:t>Dancing Times</w:t>
                </w:r>
                <w:r>
                  <w:t>, 74 (883): 587. (An entertaining recollection of touring Britain by train with the BNOC in 1922</w:t>
                </w:r>
                <w:r w:rsidR="004F4E11">
                  <w:t>.</w:t>
                </w:r>
                <w:r>
                  <w:t>)</w:t>
                </w:r>
                <w:r w:rsidR="004F4E11">
                  <w:t xml:space="preserve"> </w:t>
                </w:r>
              </w:p>
            </w:tc>
          </w:sdtContent>
        </w:sdt>
      </w:tr>
      <w:tr w:rsidR="003235A7" w14:paraId="4BEBF563" w14:textId="77777777" w:rsidTr="003235A7">
        <w:tc>
          <w:tcPr>
            <w:tcW w:w="9016" w:type="dxa"/>
          </w:tcPr>
          <w:p w14:paraId="03EF7872" w14:textId="77777777" w:rsidR="003235A7" w:rsidRDefault="003235A7" w:rsidP="00F406EE">
            <w:r w:rsidRPr="0015114C">
              <w:rPr>
                <w:u w:val="single"/>
              </w:rPr>
              <w:lastRenderedPageBreak/>
              <w:t>Further reading</w:t>
            </w:r>
            <w:r>
              <w:t>:</w:t>
            </w:r>
          </w:p>
          <w:sdt>
            <w:sdtPr>
              <w:alias w:val="Further reading"/>
              <w:tag w:val="furtherReading"/>
              <w:id w:val="-1516217107"/>
              <w:placeholder>
                <w:docPart w:val="E5FD88C2165FBD408CCEE942A7683632"/>
              </w:placeholder>
            </w:sdtPr>
            <w:sdtContent>
              <w:p w14:paraId="53023A08" w14:textId="6E5031B9" w:rsidR="00A26C83" w:rsidRDefault="005B2645" w:rsidP="00F406EE">
                <w:sdt>
                  <w:sdtPr>
                    <w:id w:val="413756019"/>
                    <w:citation/>
                  </w:sdtPr>
                  <w:sdtContent>
                    <w:r w:rsidR="00A26C83">
                      <w:fldChar w:fldCharType="begin"/>
                    </w:r>
                    <w:r w:rsidR="00A26C83">
                      <w:rPr>
                        <w:lang w:val="en-US"/>
                      </w:rPr>
                      <w:instrText xml:space="preserve"> CITATION Edi \l 1033 </w:instrText>
                    </w:r>
                    <w:r w:rsidR="00A26C83">
                      <w:fldChar w:fldCharType="separate"/>
                    </w:r>
                    <w:r w:rsidR="00A26C83">
                      <w:rPr>
                        <w:noProof/>
                        <w:lang w:val="en-US"/>
                      </w:rPr>
                      <w:t>(Edinburgh University Press)</w:t>
                    </w:r>
                    <w:r w:rsidR="00A26C83">
                      <w:fldChar w:fldCharType="end"/>
                    </w:r>
                  </w:sdtContent>
                </w:sdt>
              </w:p>
              <w:p w14:paraId="1E6C223D" w14:textId="77777777" w:rsidR="00A26C83" w:rsidRDefault="00A26C83" w:rsidP="00F406EE"/>
              <w:p w14:paraId="1E308994" w14:textId="77777777" w:rsidR="00A26C83" w:rsidRDefault="005B2645" w:rsidP="00F406EE">
                <w:sdt>
                  <w:sdtPr>
                    <w:id w:val="-372005520"/>
                    <w:citation/>
                  </w:sdtPr>
                  <w:sdtContent>
                    <w:r w:rsidR="00A26C83">
                      <w:fldChar w:fldCharType="begin"/>
                    </w:r>
                    <w:r w:rsidR="00A26C83">
                      <w:rPr>
                        <w:lang w:val="en-US"/>
                      </w:rPr>
                      <w:instrText xml:space="preserve"> CITATION Has30 \l 1033 </w:instrText>
                    </w:r>
                    <w:r w:rsidR="00A26C83">
                      <w:fldChar w:fldCharType="separate"/>
                    </w:r>
                    <w:r w:rsidR="00A26C83">
                      <w:rPr>
                        <w:noProof/>
                        <w:lang w:val="en-US"/>
                      </w:rPr>
                      <w:t>(Haskell)</w:t>
                    </w:r>
                    <w:r w:rsidR="00A26C83">
                      <w:fldChar w:fldCharType="end"/>
                    </w:r>
                  </w:sdtContent>
                </w:sdt>
              </w:p>
              <w:p w14:paraId="65963C9D" w14:textId="77777777" w:rsidR="00A26C83" w:rsidRDefault="00A26C83" w:rsidP="00F406EE"/>
              <w:p w14:paraId="1CBC0E4E" w14:textId="77777777" w:rsidR="00A26C83" w:rsidRDefault="005B2645" w:rsidP="00F406EE">
                <w:sdt>
                  <w:sdtPr>
                    <w:id w:val="-613278130"/>
                    <w:citation/>
                  </w:sdtPr>
                  <w:sdtContent>
                    <w:r w:rsidR="00A26C83">
                      <w:fldChar w:fldCharType="begin"/>
                    </w:r>
                    <w:r w:rsidR="00A26C83">
                      <w:rPr>
                        <w:lang w:val="en-US"/>
                      </w:rPr>
                      <w:instrText xml:space="preserve"> CITATION Rob10 \l 1033 </w:instrText>
                    </w:r>
                    <w:r w:rsidR="00A26C83">
                      <w:fldChar w:fldCharType="separate"/>
                    </w:r>
                    <w:r w:rsidR="00A26C83">
                      <w:rPr>
                        <w:noProof/>
                        <w:lang w:val="en-US"/>
                      </w:rPr>
                      <w:t>(Robinson)</w:t>
                    </w:r>
                    <w:r w:rsidR="00A26C83">
                      <w:fldChar w:fldCharType="end"/>
                    </w:r>
                  </w:sdtContent>
                </w:sdt>
              </w:p>
              <w:p w14:paraId="6DF86138" w14:textId="77777777" w:rsidR="00A26C83" w:rsidRDefault="00A26C83" w:rsidP="00F406EE"/>
              <w:p w14:paraId="14EC6504" w14:textId="3A740877" w:rsidR="003235A7" w:rsidRDefault="005B2645" w:rsidP="004F4E11">
                <w:sdt>
                  <w:sdtPr>
                    <w:id w:val="629215730"/>
                    <w:citation/>
                  </w:sdtPr>
                  <w:sdtContent>
                    <w:r w:rsidR="00A26C83">
                      <w:fldChar w:fldCharType="begin"/>
                    </w:r>
                    <w:r w:rsidR="00A26C83">
                      <w:rPr>
                        <w:lang w:val="en-US"/>
                      </w:rPr>
                      <w:instrText xml:space="preserve"> CITATION Spe79 \l 1033 </w:instrText>
                    </w:r>
                    <w:r w:rsidR="00A26C83">
                      <w:fldChar w:fldCharType="separate"/>
                    </w:r>
                    <w:r w:rsidR="00A26C83">
                      <w:rPr>
                        <w:noProof/>
                        <w:lang w:val="en-US"/>
                      </w:rPr>
                      <w:t>(Spencer)</w:t>
                    </w:r>
                    <w:r w:rsidR="00A26C83">
                      <w:fldChar w:fldCharType="end"/>
                    </w:r>
                  </w:sdtContent>
                </w:sdt>
              </w:p>
              <w:bookmarkStart w:id="10" w:name="_GoBack" w:displacedByCustomXml="next"/>
              <w:bookmarkEnd w:id="10" w:displacedByCustomXml="next"/>
            </w:sdtContent>
          </w:sdt>
        </w:tc>
      </w:tr>
    </w:tbl>
    <w:p w14:paraId="3631B3E0" w14:textId="77777777" w:rsidR="00C27FAB" w:rsidRPr="00F36937" w:rsidRDefault="00C27FAB" w:rsidP="00F406EE">
      <w:pPr>
        <w:spacing w:after="0" w:line="240" w:lineRule="auto"/>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09T15:16:00Z" w:initials="LD">
    <w:p w14:paraId="048B1604" w14:textId="250F9984" w:rsidR="005B2645" w:rsidRDefault="005B2645">
      <w:pPr>
        <w:pStyle w:val="CommentText"/>
      </w:pPr>
      <w:r>
        <w:rPr>
          <w:rStyle w:val="CommentReference"/>
        </w:rPr>
        <w:annotationRef/>
      </w:r>
      <w:r>
        <w:t>Can you provide a source (including page number) for this quote?</w:t>
      </w:r>
    </w:p>
  </w:comment>
  <w:comment w:id="1" w:author="Laura Dosky" w:date="2015-02-09T15:22:00Z" w:initials="LD">
    <w:p w14:paraId="65A314CA" w14:textId="7F6A7067" w:rsidR="005B2645" w:rsidRDefault="005B2645">
      <w:pPr>
        <w:pStyle w:val="CommentText"/>
      </w:pPr>
      <w:r>
        <w:rPr>
          <w:rStyle w:val="CommentReference"/>
        </w:rPr>
        <w:annotationRef/>
      </w:r>
      <w:r>
        <w:t>Source? Page number?</w:t>
      </w:r>
    </w:p>
  </w:comment>
  <w:comment w:id="2" w:author="Laura Dosky" w:date="2015-02-09T15:23:00Z" w:initials="LD">
    <w:p w14:paraId="1FD04F89" w14:textId="1F66438A" w:rsidR="005B2645" w:rsidRDefault="005B2645">
      <w:pPr>
        <w:pStyle w:val="CommentText"/>
      </w:pPr>
      <w:r>
        <w:rPr>
          <w:rStyle w:val="CommentReference"/>
        </w:rPr>
        <w:annotationRef/>
      </w:r>
      <w:r>
        <w:t>Source? Page Number?</w:t>
      </w:r>
    </w:p>
  </w:comment>
  <w:comment w:id="3" w:author="Laura Dosky" w:date="2015-02-09T15:24:00Z" w:initials="LD">
    <w:p w14:paraId="05BC7E58" w14:textId="78981C6F" w:rsidR="005B2645" w:rsidRDefault="005B2645">
      <w:pPr>
        <w:pStyle w:val="CommentText"/>
      </w:pPr>
      <w:r>
        <w:rPr>
          <w:rStyle w:val="CommentReference"/>
        </w:rPr>
        <w:annotationRef/>
      </w:r>
      <w:r>
        <w:t>Source(s)? Page number(s)?</w:t>
      </w:r>
    </w:p>
  </w:comment>
  <w:comment w:id="4" w:author="Laura Dosky" w:date="2015-02-09T15:24:00Z" w:initials="LD">
    <w:p w14:paraId="4529BAB5" w14:textId="497D7A59" w:rsidR="005B2645" w:rsidRDefault="005B2645">
      <w:pPr>
        <w:pStyle w:val="CommentText"/>
      </w:pPr>
      <w:r>
        <w:rPr>
          <w:rStyle w:val="CommentReference"/>
        </w:rPr>
        <w:annotationRef/>
      </w:r>
      <w:r>
        <w:t>Source? Page number?</w:t>
      </w:r>
    </w:p>
  </w:comment>
  <w:comment w:id="5" w:author="Laura Dosky" w:date="2015-02-09T15:25:00Z" w:initials="LD">
    <w:p w14:paraId="746D9A99" w14:textId="04AAB06D" w:rsidR="005B2645" w:rsidRDefault="005B2645">
      <w:pPr>
        <w:pStyle w:val="CommentText"/>
      </w:pPr>
      <w:r>
        <w:rPr>
          <w:rStyle w:val="CommentReference"/>
        </w:rPr>
        <w:annotationRef/>
      </w:r>
      <w:r>
        <w:t>Source? Page number?</w:t>
      </w:r>
    </w:p>
  </w:comment>
  <w:comment w:id="6" w:author="Laura Dosky" w:date="2015-02-09T15:28:00Z" w:initials="LD">
    <w:p w14:paraId="5AD44E25" w14:textId="208807A4" w:rsidR="005B2645" w:rsidRDefault="005B2645">
      <w:pPr>
        <w:pStyle w:val="CommentText"/>
      </w:pPr>
      <w:r>
        <w:rPr>
          <w:rStyle w:val="CommentReference"/>
        </w:rPr>
        <w:annotationRef/>
      </w:r>
      <w:r>
        <w:t>Source? Page number?</w:t>
      </w:r>
    </w:p>
  </w:comment>
  <w:comment w:id="7" w:author="Laura Dosky" w:date="2015-02-09T15:28:00Z" w:initials="LD">
    <w:p w14:paraId="5BF08B09" w14:textId="0A6F3DFF" w:rsidR="005B2645" w:rsidRDefault="005B2645">
      <w:pPr>
        <w:pStyle w:val="CommentText"/>
      </w:pPr>
      <w:r>
        <w:rPr>
          <w:rStyle w:val="CommentReference"/>
        </w:rPr>
        <w:annotationRef/>
      </w:r>
      <w:r>
        <w:t>Source? Page number?</w:t>
      </w:r>
    </w:p>
  </w:comment>
  <w:comment w:id="8" w:author="Laura Dosky" w:date="2015-02-09T15:30:00Z" w:initials="LD">
    <w:p w14:paraId="009FA557" w14:textId="3BB520E3" w:rsidR="005B2645" w:rsidRDefault="005B2645">
      <w:pPr>
        <w:pStyle w:val="CommentText"/>
      </w:pPr>
      <w:r>
        <w:rPr>
          <w:rStyle w:val="CommentReference"/>
        </w:rPr>
        <w:annotationRef/>
      </w:r>
      <w:r>
        <w:t>Source? Page number?</w:t>
      </w:r>
    </w:p>
  </w:comment>
  <w:comment w:id="9" w:author="Kate Juniper" w:date="2015-02-06T13:43:00Z" w:initials="KJ">
    <w:p w14:paraId="1BBC20BE" w14:textId="5DD49592" w:rsidR="005B2645" w:rsidRDefault="005B2645">
      <w:pPr>
        <w:pStyle w:val="CommentText"/>
      </w:pPr>
      <w:r>
        <w:rPr>
          <w:rStyle w:val="CommentReference"/>
        </w:rPr>
        <w:annotationRef/>
      </w:r>
      <w:r>
        <w:rPr>
          <w:rFonts w:ascii="Helvetica" w:hAnsi="Helvetica" w:cs="Helvetica"/>
          <w:sz w:val="26"/>
          <w:szCs w:val="26"/>
          <w:lang w:val="en-US"/>
        </w:rPr>
        <w:t xml:space="preserve">Note: All photographs appear in the author’s article (Robinson, A. [2010] ‘Penelope Spencer [1901-93] Dancer and Choreographer: A Chronicle’, </w:t>
      </w:r>
      <w:r>
        <w:rPr>
          <w:rFonts w:ascii="Helvetica" w:hAnsi="Helvetica" w:cs="Helvetica"/>
          <w:i/>
          <w:iCs/>
          <w:sz w:val="26"/>
          <w:szCs w:val="26"/>
          <w:lang w:val="en-US"/>
        </w:rPr>
        <w:t xml:space="preserve">Dance Research </w:t>
      </w:r>
      <w:r>
        <w:rPr>
          <w:rFonts w:ascii="Helvetica" w:hAnsi="Helvetica" w:cs="Helvetica"/>
          <w:sz w:val="26"/>
          <w:szCs w:val="26"/>
          <w:lang w:val="en-US"/>
        </w:rPr>
        <w:t>28 [1]: 36-89.).  For permission to reproduce, contact: Edinburgh University Press, 22 George Square, Edinburgh EH8 9LF.</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8A2E2" w14:textId="77777777" w:rsidR="005B2645" w:rsidRDefault="005B2645" w:rsidP="007A0D55">
      <w:pPr>
        <w:spacing w:after="0" w:line="240" w:lineRule="auto"/>
      </w:pPr>
      <w:r>
        <w:separator/>
      </w:r>
    </w:p>
  </w:endnote>
  <w:endnote w:type="continuationSeparator" w:id="0">
    <w:p w14:paraId="0C15F228" w14:textId="77777777" w:rsidR="005B2645" w:rsidRDefault="005B26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E7B35" w14:textId="77777777" w:rsidR="005B2645" w:rsidRDefault="005B2645" w:rsidP="007A0D55">
      <w:pPr>
        <w:spacing w:after="0" w:line="240" w:lineRule="auto"/>
      </w:pPr>
      <w:r>
        <w:separator/>
      </w:r>
    </w:p>
  </w:footnote>
  <w:footnote w:type="continuationSeparator" w:id="0">
    <w:p w14:paraId="204977F0" w14:textId="77777777" w:rsidR="005B2645" w:rsidRDefault="005B26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9B8C0" w14:textId="77777777" w:rsidR="005B2645" w:rsidRDefault="005B264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619A95" w14:textId="77777777" w:rsidR="005B2645" w:rsidRDefault="005B26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31"/>
    <w:rsid w:val="000310ED"/>
    <w:rsid w:val="00032559"/>
    <w:rsid w:val="00052040"/>
    <w:rsid w:val="000B25AE"/>
    <w:rsid w:val="000B55AB"/>
    <w:rsid w:val="000D24DC"/>
    <w:rsid w:val="00101B2E"/>
    <w:rsid w:val="00116FA0"/>
    <w:rsid w:val="00125431"/>
    <w:rsid w:val="0015114C"/>
    <w:rsid w:val="0015237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4E11"/>
    <w:rsid w:val="00513EE6"/>
    <w:rsid w:val="00534F8F"/>
    <w:rsid w:val="00590035"/>
    <w:rsid w:val="005B177E"/>
    <w:rsid w:val="005B2645"/>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3158"/>
    <w:rsid w:val="009A7264"/>
    <w:rsid w:val="009D1606"/>
    <w:rsid w:val="009E18A1"/>
    <w:rsid w:val="009E73D7"/>
    <w:rsid w:val="00A26C83"/>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7CB5"/>
    <w:rsid w:val="00D656DA"/>
    <w:rsid w:val="00D83300"/>
    <w:rsid w:val="00D9309C"/>
    <w:rsid w:val="00DC6B48"/>
    <w:rsid w:val="00DF01B0"/>
    <w:rsid w:val="00E85A05"/>
    <w:rsid w:val="00E95829"/>
    <w:rsid w:val="00EA606C"/>
    <w:rsid w:val="00EB0C8C"/>
    <w:rsid w:val="00EB51FD"/>
    <w:rsid w:val="00EB77DB"/>
    <w:rsid w:val="00ED139F"/>
    <w:rsid w:val="00EF74F7"/>
    <w:rsid w:val="00F36937"/>
    <w:rsid w:val="00F406E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6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54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5431"/>
    <w:rPr>
      <w:rFonts w:ascii="Lucida Grande" w:hAnsi="Lucida Grande"/>
      <w:sz w:val="18"/>
      <w:szCs w:val="18"/>
    </w:rPr>
  </w:style>
  <w:style w:type="paragraph" w:customStyle="1" w:styleId="normal0">
    <w:name w:val="normal"/>
    <w:basedOn w:val="Normal"/>
    <w:rsid w:val="00152371"/>
    <w:pPr>
      <w:spacing w:after="0" w:line="240" w:lineRule="auto"/>
    </w:pPr>
    <w:rPr>
      <w:rFonts w:ascii="Times New Roman" w:eastAsia="Times New Roman" w:hAnsi="Times New Roman" w:cs="Times New Roman"/>
      <w:sz w:val="24"/>
      <w:szCs w:val="24"/>
      <w:lang w:val="en-US"/>
    </w:rPr>
  </w:style>
  <w:style w:type="character" w:customStyle="1" w:styleId="normalchar1">
    <w:name w:val="normal__char1"/>
    <w:basedOn w:val="DefaultParagraphFont"/>
    <w:rsid w:val="00152371"/>
    <w:rPr>
      <w:rFonts w:ascii="Times New Roman" w:hAnsi="Times New Roman" w:cs="Times New Roman" w:hint="default"/>
      <w:sz w:val="24"/>
      <w:szCs w:val="24"/>
    </w:rPr>
  </w:style>
  <w:style w:type="character" w:styleId="CommentReference">
    <w:name w:val="annotation reference"/>
    <w:basedOn w:val="DefaultParagraphFont"/>
    <w:uiPriority w:val="99"/>
    <w:semiHidden/>
    <w:rsid w:val="00D9309C"/>
    <w:rPr>
      <w:sz w:val="18"/>
      <w:szCs w:val="18"/>
    </w:rPr>
  </w:style>
  <w:style w:type="paragraph" w:styleId="CommentText">
    <w:name w:val="annotation text"/>
    <w:basedOn w:val="Normal"/>
    <w:link w:val="CommentTextChar"/>
    <w:uiPriority w:val="99"/>
    <w:semiHidden/>
    <w:rsid w:val="00D9309C"/>
    <w:pPr>
      <w:spacing w:line="240" w:lineRule="auto"/>
    </w:pPr>
    <w:rPr>
      <w:sz w:val="24"/>
      <w:szCs w:val="24"/>
    </w:rPr>
  </w:style>
  <w:style w:type="character" w:customStyle="1" w:styleId="CommentTextChar">
    <w:name w:val="Comment Text Char"/>
    <w:basedOn w:val="DefaultParagraphFont"/>
    <w:link w:val="CommentText"/>
    <w:uiPriority w:val="99"/>
    <w:semiHidden/>
    <w:rsid w:val="00D9309C"/>
    <w:rPr>
      <w:sz w:val="24"/>
      <w:szCs w:val="24"/>
    </w:rPr>
  </w:style>
  <w:style w:type="paragraph" w:styleId="CommentSubject">
    <w:name w:val="annotation subject"/>
    <w:basedOn w:val="CommentText"/>
    <w:next w:val="CommentText"/>
    <w:link w:val="CommentSubjectChar"/>
    <w:uiPriority w:val="99"/>
    <w:semiHidden/>
    <w:rsid w:val="00D9309C"/>
    <w:rPr>
      <w:b/>
      <w:bCs/>
      <w:sz w:val="20"/>
      <w:szCs w:val="20"/>
    </w:rPr>
  </w:style>
  <w:style w:type="character" w:customStyle="1" w:styleId="CommentSubjectChar">
    <w:name w:val="Comment Subject Char"/>
    <w:basedOn w:val="CommentTextChar"/>
    <w:link w:val="CommentSubject"/>
    <w:uiPriority w:val="99"/>
    <w:semiHidden/>
    <w:rsid w:val="00D9309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54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5431"/>
    <w:rPr>
      <w:rFonts w:ascii="Lucida Grande" w:hAnsi="Lucida Grande"/>
      <w:sz w:val="18"/>
      <w:szCs w:val="18"/>
    </w:rPr>
  </w:style>
  <w:style w:type="paragraph" w:customStyle="1" w:styleId="normal0">
    <w:name w:val="normal"/>
    <w:basedOn w:val="Normal"/>
    <w:rsid w:val="00152371"/>
    <w:pPr>
      <w:spacing w:after="0" w:line="240" w:lineRule="auto"/>
    </w:pPr>
    <w:rPr>
      <w:rFonts w:ascii="Times New Roman" w:eastAsia="Times New Roman" w:hAnsi="Times New Roman" w:cs="Times New Roman"/>
      <w:sz w:val="24"/>
      <w:szCs w:val="24"/>
      <w:lang w:val="en-US"/>
    </w:rPr>
  </w:style>
  <w:style w:type="character" w:customStyle="1" w:styleId="normalchar1">
    <w:name w:val="normal__char1"/>
    <w:basedOn w:val="DefaultParagraphFont"/>
    <w:rsid w:val="00152371"/>
    <w:rPr>
      <w:rFonts w:ascii="Times New Roman" w:hAnsi="Times New Roman" w:cs="Times New Roman" w:hint="default"/>
      <w:sz w:val="24"/>
      <w:szCs w:val="24"/>
    </w:rPr>
  </w:style>
  <w:style w:type="character" w:styleId="CommentReference">
    <w:name w:val="annotation reference"/>
    <w:basedOn w:val="DefaultParagraphFont"/>
    <w:uiPriority w:val="99"/>
    <w:semiHidden/>
    <w:rsid w:val="00D9309C"/>
    <w:rPr>
      <w:sz w:val="18"/>
      <w:szCs w:val="18"/>
    </w:rPr>
  </w:style>
  <w:style w:type="paragraph" w:styleId="CommentText">
    <w:name w:val="annotation text"/>
    <w:basedOn w:val="Normal"/>
    <w:link w:val="CommentTextChar"/>
    <w:uiPriority w:val="99"/>
    <w:semiHidden/>
    <w:rsid w:val="00D9309C"/>
    <w:pPr>
      <w:spacing w:line="240" w:lineRule="auto"/>
    </w:pPr>
    <w:rPr>
      <w:sz w:val="24"/>
      <w:szCs w:val="24"/>
    </w:rPr>
  </w:style>
  <w:style w:type="character" w:customStyle="1" w:styleId="CommentTextChar">
    <w:name w:val="Comment Text Char"/>
    <w:basedOn w:val="DefaultParagraphFont"/>
    <w:link w:val="CommentText"/>
    <w:uiPriority w:val="99"/>
    <w:semiHidden/>
    <w:rsid w:val="00D9309C"/>
    <w:rPr>
      <w:sz w:val="24"/>
      <w:szCs w:val="24"/>
    </w:rPr>
  </w:style>
  <w:style w:type="paragraph" w:styleId="CommentSubject">
    <w:name w:val="annotation subject"/>
    <w:basedOn w:val="CommentText"/>
    <w:next w:val="CommentText"/>
    <w:link w:val="CommentSubjectChar"/>
    <w:uiPriority w:val="99"/>
    <w:semiHidden/>
    <w:rsid w:val="00D9309C"/>
    <w:rPr>
      <w:b/>
      <w:bCs/>
      <w:sz w:val="20"/>
      <w:szCs w:val="20"/>
    </w:rPr>
  </w:style>
  <w:style w:type="character" w:customStyle="1" w:styleId="CommentSubjectChar">
    <w:name w:val="Comment Subject Char"/>
    <w:basedOn w:val="CommentTextChar"/>
    <w:link w:val="CommentSubject"/>
    <w:uiPriority w:val="99"/>
    <w:semiHidden/>
    <w:rsid w:val="00D930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57BA9E9679264A8D863B2D411C7676"/>
        <w:category>
          <w:name w:val="General"/>
          <w:gallery w:val="placeholder"/>
        </w:category>
        <w:types>
          <w:type w:val="bbPlcHdr"/>
        </w:types>
        <w:behaviors>
          <w:behavior w:val="content"/>
        </w:behaviors>
        <w:guid w:val="{7CB4B23B-D4DE-0742-A246-FDFB6A8F1475}"/>
      </w:docPartPr>
      <w:docPartBody>
        <w:p w:rsidR="00E12C6D" w:rsidRDefault="00E12C6D">
          <w:pPr>
            <w:pStyle w:val="5857BA9E9679264A8D863B2D411C7676"/>
          </w:pPr>
          <w:r w:rsidRPr="00CC586D">
            <w:rPr>
              <w:rStyle w:val="PlaceholderText"/>
              <w:b/>
              <w:color w:val="FFFFFF" w:themeColor="background1"/>
            </w:rPr>
            <w:t>[Salutation]</w:t>
          </w:r>
        </w:p>
      </w:docPartBody>
    </w:docPart>
    <w:docPart>
      <w:docPartPr>
        <w:name w:val="07CD4E07C469C549B80E81511E082D84"/>
        <w:category>
          <w:name w:val="General"/>
          <w:gallery w:val="placeholder"/>
        </w:category>
        <w:types>
          <w:type w:val="bbPlcHdr"/>
        </w:types>
        <w:behaviors>
          <w:behavior w:val="content"/>
        </w:behaviors>
        <w:guid w:val="{D2420E80-6A75-1242-A35F-B20F406F6F7D}"/>
      </w:docPartPr>
      <w:docPartBody>
        <w:p w:rsidR="00E12C6D" w:rsidRDefault="00E12C6D">
          <w:pPr>
            <w:pStyle w:val="07CD4E07C469C549B80E81511E082D84"/>
          </w:pPr>
          <w:r>
            <w:rPr>
              <w:rStyle w:val="PlaceholderText"/>
            </w:rPr>
            <w:t>[First name]</w:t>
          </w:r>
        </w:p>
      </w:docPartBody>
    </w:docPart>
    <w:docPart>
      <w:docPartPr>
        <w:name w:val="57E77AF63EA8174A9FAA57CEE554CB00"/>
        <w:category>
          <w:name w:val="General"/>
          <w:gallery w:val="placeholder"/>
        </w:category>
        <w:types>
          <w:type w:val="bbPlcHdr"/>
        </w:types>
        <w:behaviors>
          <w:behavior w:val="content"/>
        </w:behaviors>
        <w:guid w:val="{CEA51A4F-726F-A543-B440-024701A1213A}"/>
      </w:docPartPr>
      <w:docPartBody>
        <w:p w:rsidR="00E12C6D" w:rsidRDefault="00E12C6D">
          <w:pPr>
            <w:pStyle w:val="57E77AF63EA8174A9FAA57CEE554CB00"/>
          </w:pPr>
          <w:r>
            <w:rPr>
              <w:rStyle w:val="PlaceholderText"/>
            </w:rPr>
            <w:t>[Middle name]</w:t>
          </w:r>
        </w:p>
      </w:docPartBody>
    </w:docPart>
    <w:docPart>
      <w:docPartPr>
        <w:name w:val="2DD496747DF6BB41BC3DADCE6819192C"/>
        <w:category>
          <w:name w:val="General"/>
          <w:gallery w:val="placeholder"/>
        </w:category>
        <w:types>
          <w:type w:val="bbPlcHdr"/>
        </w:types>
        <w:behaviors>
          <w:behavior w:val="content"/>
        </w:behaviors>
        <w:guid w:val="{96DC7FE2-06EE-0E47-873C-44BEA5B1541A}"/>
      </w:docPartPr>
      <w:docPartBody>
        <w:p w:rsidR="00E12C6D" w:rsidRDefault="00E12C6D">
          <w:pPr>
            <w:pStyle w:val="2DD496747DF6BB41BC3DADCE6819192C"/>
          </w:pPr>
          <w:r>
            <w:rPr>
              <w:rStyle w:val="PlaceholderText"/>
            </w:rPr>
            <w:t>[Last name]</w:t>
          </w:r>
        </w:p>
      </w:docPartBody>
    </w:docPart>
    <w:docPart>
      <w:docPartPr>
        <w:name w:val="51FFDE09390BAF439F454831ADE44244"/>
        <w:category>
          <w:name w:val="General"/>
          <w:gallery w:val="placeholder"/>
        </w:category>
        <w:types>
          <w:type w:val="bbPlcHdr"/>
        </w:types>
        <w:behaviors>
          <w:behavior w:val="content"/>
        </w:behaviors>
        <w:guid w:val="{115AE9A0-C4D9-344D-AEE0-340094672E88}"/>
      </w:docPartPr>
      <w:docPartBody>
        <w:p w:rsidR="00E12C6D" w:rsidRDefault="00E12C6D">
          <w:pPr>
            <w:pStyle w:val="51FFDE09390BAF439F454831ADE44244"/>
          </w:pPr>
          <w:r>
            <w:rPr>
              <w:rStyle w:val="PlaceholderText"/>
            </w:rPr>
            <w:t>[Enter your biography]</w:t>
          </w:r>
        </w:p>
      </w:docPartBody>
    </w:docPart>
    <w:docPart>
      <w:docPartPr>
        <w:name w:val="7EA5839DE831B04589F92ACD81788317"/>
        <w:category>
          <w:name w:val="General"/>
          <w:gallery w:val="placeholder"/>
        </w:category>
        <w:types>
          <w:type w:val="bbPlcHdr"/>
        </w:types>
        <w:behaviors>
          <w:behavior w:val="content"/>
        </w:behaviors>
        <w:guid w:val="{1E157492-F321-D64F-924C-2AB02E285C62}"/>
      </w:docPartPr>
      <w:docPartBody>
        <w:p w:rsidR="00E12C6D" w:rsidRDefault="00E12C6D">
          <w:pPr>
            <w:pStyle w:val="7EA5839DE831B04589F92ACD81788317"/>
          </w:pPr>
          <w:r>
            <w:rPr>
              <w:rStyle w:val="PlaceholderText"/>
            </w:rPr>
            <w:t>[Enter the institution with which you are affiliated]</w:t>
          </w:r>
        </w:p>
      </w:docPartBody>
    </w:docPart>
    <w:docPart>
      <w:docPartPr>
        <w:name w:val="F976D8D29E4CA04B8276CE3C7839FD66"/>
        <w:category>
          <w:name w:val="General"/>
          <w:gallery w:val="placeholder"/>
        </w:category>
        <w:types>
          <w:type w:val="bbPlcHdr"/>
        </w:types>
        <w:behaviors>
          <w:behavior w:val="content"/>
        </w:behaviors>
        <w:guid w:val="{7C1D67F7-37E2-E040-8E58-0894498B990B}"/>
      </w:docPartPr>
      <w:docPartBody>
        <w:p w:rsidR="00E12C6D" w:rsidRDefault="00E12C6D">
          <w:pPr>
            <w:pStyle w:val="F976D8D29E4CA04B8276CE3C7839FD66"/>
          </w:pPr>
          <w:r w:rsidRPr="00EF74F7">
            <w:rPr>
              <w:b/>
              <w:color w:val="808080" w:themeColor="background1" w:themeShade="80"/>
            </w:rPr>
            <w:t>[Enter the headword for your article]</w:t>
          </w:r>
        </w:p>
      </w:docPartBody>
    </w:docPart>
    <w:docPart>
      <w:docPartPr>
        <w:name w:val="CD1E26CB4A098848A864EFBB7BFA47CE"/>
        <w:category>
          <w:name w:val="General"/>
          <w:gallery w:val="placeholder"/>
        </w:category>
        <w:types>
          <w:type w:val="bbPlcHdr"/>
        </w:types>
        <w:behaviors>
          <w:behavior w:val="content"/>
        </w:behaviors>
        <w:guid w:val="{6A042BB9-8B73-C945-A721-F5696F263E83}"/>
      </w:docPartPr>
      <w:docPartBody>
        <w:p w:rsidR="00E12C6D" w:rsidRDefault="00E12C6D">
          <w:pPr>
            <w:pStyle w:val="CD1E26CB4A098848A864EFBB7BFA47C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9EC036EEADD714EB772766022729636"/>
        <w:category>
          <w:name w:val="General"/>
          <w:gallery w:val="placeholder"/>
        </w:category>
        <w:types>
          <w:type w:val="bbPlcHdr"/>
        </w:types>
        <w:behaviors>
          <w:behavior w:val="content"/>
        </w:behaviors>
        <w:guid w:val="{DB6359E9-44B5-6A49-974A-45AA8C213194}"/>
      </w:docPartPr>
      <w:docPartBody>
        <w:p w:rsidR="00E12C6D" w:rsidRDefault="00E12C6D">
          <w:pPr>
            <w:pStyle w:val="39EC036EEADD714EB7727660227296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A6406F8B3EF784A8A9170532567657F"/>
        <w:category>
          <w:name w:val="General"/>
          <w:gallery w:val="placeholder"/>
        </w:category>
        <w:types>
          <w:type w:val="bbPlcHdr"/>
        </w:types>
        <w:behaviors>
          <w:behavior w:val="content"/>
        </w:behaviors>
        <w:guid w:val="{A50B064A-AF9A-084B-80D7-CF52FE11BF11}"/>
      </w:docPartPr>
      <w:docPartBody>
        <w:p w:rsidR="00E12C6D" w:rsidRDefault="00E12C6D">
          <w:pPr>
            <w:pStyle w:val="9A6406F8B3EF784A8A917053256765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FD88C2165FBD408CCEE942A7683632"/>
        <w:category>
          <w:name w:val="General"/>
          <w:gallery w:val="placeholder"/>
        </w:category>
        <w:types>
          <w:type w:val="bbPlcHdr"/>
        </w:types>
        <w:behaviors>
          <w:behavior w:val="content"/>
        </w:behaviors>
        <w:guid w:val="{C797740F-168B-F24C-B1D5-9F1E88EA659E}"/>
      </w:docPartPr>
      <w:docPartBody>
        <w:p w:rsidR="00E12C6D" w:rsidRDefault="00E12C6D">
          <w:pPr>
            <w:pStyle w:val="E5FD88C2165FBD408CCEE942A7683632"/>
          </w:pPr>
          <w:r>
            <w:rPr>
              <w:rStyle w:val="PlaceholderText"/>
            </w:rPr>
            <w:t>[Enter citations for further reading here]</w:t>
          </w:r>
        </w:p>
      </w:docPartBody>
    </w:docPart>
    <w:docPart>
      <w:docPartPr>
        <w:name w:val="C1F095F61BAC9B458FE54D11A820E283"/>
        <w:category>
          <w:name w:val="General"/>
          <w:gallery w:val="placeholder"/>
        </w:category>
        <w:types>
          <w:type w:val="bbPlcHdr"/>
        </w:types>
        <w:behaviors>
          <w:behavior w:val="content"/>
        </w:behaviors>
        <w:guid w:val="{BF06B080-579A-994D-9E2D-09F94E099FF6}"/>
      </w:docPartPr>
      <w:docPartBody>
        <w:p w:rsidR="00886BC8" w:rsidRDefault="00886BC8" w:rsidP="00886BC8">
          <w:pPr>
            <w:pStyle w:val="C1F095F61BAC9B458FE54D11A820E28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6D"/>
    <w:rsid w:val="00886BC8"/>
    <w:rsid w:val="00E12C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BC8"/>
    <w:rPr>
      <w:color w:val="808080"/>
    </w:rPr>
  </w:style>
  <w:style w:type="paragraph" w:customStyle="1" w:styleId="5857BA9E9679264A8D863B2D411C7676">
    <w:name w:val="5857BA9E9679264A8D863B2D411C7676"/>
  </w:style>
  <w:style w:type="paragraph" w:customStyle="1" w:styleId="07CD4E07C469C549B80E81511E082D84">
    <w:name w:val="07CD4E07C469C549B80E81511E082D84"/>
  </w:style>
  <w:style w:type="paragraph" w:customStyle="1" w:styleId="57E77AF63EA8174A9FAA57CEE554CB00">
    <w:name w:val="57E77AF63EA8174A9FAA57CEE554CB00"/>
  </w:style>
  <w:style w:type="paragraph" w:customStyle="1" w:styleId="2DD496747DF6BB41BC3DADCE6819192C">
    <w:name w:val="2DD496747DF6BB41BC3DADCE6819192C"/>
  </w:style>
  <w:style w:type="paragraph" w:customStyle="1" w:styleId="51FFDE09390BAF439F454831ADE44244">
    <w:name w:val="51FFDE09390BAF439F454831ADE44244"/>
  </w:style>
  <w:style w:type="paragraph" w:customStyle="1" w:styleId="7EA5839DE831B04589F92ACD81788317">
    <w:name w:val="7EA5839DE831B04589F92ACD81788317"/>
  </w:style>
  <w:style w:type="paragraph" w:customStyle="1" w:styleId="F976D8D29E4CA04B8276CE3C7839FD66">
    <w:name w:val="F976D8D29E4CA04B8276CE3C7839FD66"/>
  </w:style>
  <w:style w:type="paragraph" w:customStyle="1" w:styleId="CD1E26CB4A098848A864EFBB7BFA47CE">
    <w:name w:val="CD1E26CB4A098848A864EFBB7BFA47CE"/>
  </w:style>
  <w:style w:type="paragraph" w:customStyle="1" w:styleId="39EC036EEADD714EB772766022729636">
    <w:name w:val="39EC036EEADD714EB772766022729636"/>
  </w:style>
  <w:style w:type="paragraph" w:customStyle="1" w:styleId="9A6406F8B3EF784A8A9170532567657F">
    <w:name w:val="9A6406F8B3EF784A8A9170532567657F"/>
  </w:style>
  <w:style w:type="paragraph" w:customStyle="1" w:styleId="E5FD88C2165FBD408CCEE942A7683632">
    <w:name w:val="E5FD88C2165FBD408CCEE942A7683632"/>
  </w:style>
  <w:style w:type="paragraph" w:customStyle="1" w:styleId="C1F095F61BAC9B458FE54D11A820E283">
    <w:name w:val="C1F095F61BAC9B458FE54D11A820E283"/>
    <w:rsid w:val="00886BC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BC8"/>
    <w:rPr>
      <w:color w:val="808080"/>
    </w:rPr>
  </w:style>
  <w:style w:type="paragraph" w:customStyle="1" w:styleId="5857BA9E9679264A8D863B2D411C7676">
    <w:name w:val="5857BA9E9679264A8D863B2D411C7676"/>
  </w:style>
  <w:style w:type="paragraph" w:customStyle="1" w:styleId="07CD4E07C469C549B80E81511E082D84">
    <w:name w:val="07CD4E07C469C549B80E81511E082D84"/>
  </w:style>
  <w:style w:type="paragraph" w:customStyle="1" w:styleId="57E77AF63EA8174A9FAA57CEE554CB00">
    <w:name w:val="57E77AF63EA8174A9FAA57CEE554CB00"/>
  </w:style>
  <w:style w:type="paragraph" w:customStyle="1" w:styleId="2DD496747DF6BB41BC3DADCE6819192C">
    <w:name w:val="2DD496747DF6BB41BC3DADCE6819192C"/>
  </w:style>
  <w:style w:type="paragraph" w:customStyle="1" w:styleId="51FFDE09390BAF439F454831ADE44244">
    <w:name w:val="51FFDE09390BAF439F454831ADE44244"/>
  </w:style>
  <w:style w:type="paragraph" w:customStyle="1" w:styleId="7EA5839DE831B04589F92ACD81788317">
    <w:name w:val="7EA5839DE831B04589F92ACD81788317"/>
  </w:style>
  <w:style w:type="paragraph" w:customStyle="1" w:styleId="F976D8D29E4CA04B8276CE3C7839FD66">
    <w:name w:val="F976D8D29E4CA04B8276CE3C7839FD66"/>
  </w:style>
  <w:style w:type="paragraph" w:customStyle="1" w:styleId="CD1E26CB4A098848A864EFBB7BFA47CE">
    <w:name w:val="CD1E26CB4A098848A864EFBB7BFA47CE"/>
  </w:style>
  <w:style w:type="paragraph" w:customStyle="1" w:styleId="39EC036EEADD714EB772766022729636">
    <w:name w:val="39EC036EEADD714EB772766022729636"/>
  </w:style>
  <w:style w:type="paragraph" w:customStyle="1" w:styleId="9A6406F8B3EF784A8A9170532567657F">
    <w:name w:val="9A6406F8B3EF784A8A9170532567657F"/>
  </w:style>
  <w:style w:type="paragraph" w:customStyle="1" w:styleId="E5FD88C2165FBD408CCEE942A7683632">
    <w:name w:val="E5FD88C2165FBD408CCEE942A7683632"/>
  </w:style>
  <w:style w:type="paragraph" w:customStyle="1" w:styleId="C1F095F61BAC9B458FE54D11A820E283">
    <w:name w:val="C1F095F61BAC9B458FE54D11A820E283"/>
    <w:rsid w:val="00886BC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Edi</b:Tag>
    <b:SourceType>InternetSite</b:SourceType>
    <b:Guid>{D35F2C70-A394-D344-B090-AB1F0FC93BA5}</b:Guid>
    <b:Comments>The complete chronology of the choreographic works of Penelope Spencer is available online.</b:Comments>
    <b:InternetSiteTitle>Edinburgh University Press</b:InternetSiteTitle>
    <b:URL>http://www.euppublishing.com/journal/drs</b:URL>
    <b:RefOrder>1</b:RefOrder>
  </b:Source>
  <b:Source>
    <b:Tag>Has30</b:Tag>
    <b:SourceType>Book</b:SourceType>
    <b:Guid>{6980FD10-2B7E-1145-B2B4-F7E338B430E3}</b:Guid>
    <b:Author>
      <b:Author>
        <b:NameList>
          <b:Person>
            <b:Last>Haskell</b:Last>
            <b:First>A.</b:First>
          </b:Person>
        </b:NameList>
      </b:Author>
    </b:Author>
    <b:Title>Penelope Spencer and other Studies</b:Title>
    <b:Year>1930</b:Year>
    <b:Comments>An early study of Spencer’s work with useful insights.</b:Comments>
    <b:City>London</b:City>
    <b:Publisher>British-Continental Press</b:Publisher>
    <b:RefOrder>2</b:RefOrder>
  </b:Source>
  <b:Source>
    <b:Tag>Rob10</b:Tag>
    <b:SourceType>JournalArticle</b:SourceType>
    <b:Guid>{3D9885EE-9ABC-7141-A0C3-D41D2C8E71AF}</b:Guid>
    <b:Author>
      <b:Author>
        <b:NameList>
          <b:Person>
            <b:Last>Robinson</b:Last>
            <b:First>A.</b:First>
          </b:Person>
        </b:NameList>
      </b:Author>
    </b:Author>
    <b:Title>Penelope Spencer (1901-93) Dancer and Choreographer: A Chronicle</b:Title>
    <b:Year>2010</b:Year>
    <b:Volume>XXVIII</b:Volume>
    <b:Pages>36-89</b:Pages>
    <b:Comments>A detailed history of Spencer’s wide-ranging and often pioneering achievements in British theatre dance supplemented by a complete online chronology of Spencer’s choreographic works.</b:Comments>
    <b:JournalName>Dance Research</b:JournalName>
    <b:Issue>1</b:Issue>
    <b:RefOrder>3</b:RefOrder>
  </b:Source>
  <b:Source>
    <b:Tag>Spe79</b:Tag>
    <b:SourceType>Misc</b:SourceType>
    <b:Guid>{9B1B3267-6F3B-3247-ACD8-11C05BEB5530}</b:Guid>
    <b:Author>
      <b:Author>
        <b:NameList>
          <b:Person>
            <b:Last>Spencer</b:Last>
            <b:First>P.</b:First>
          </b:Person>
        </b:NameList>
      </b:Author>
    </b:Author>
    <b:Title>Penelope Spencer and Glastonbury</b:Title>
    <b:Publisher>Royal Northern College of Music</b:Publisher>
    <b:Year>1979</b:Year>
    <b:Month>March</b:Month>
    <b:Day>7</b:Day>
    <b:Comments>Reminiscences of the Glastonbury Festival and Royal College of Music in the inter-war period.</b:Comments>
    <b:Medium>Programme of the Sylvia Spencer Commemoration Concert</b:Medium>
    <b:RefOrder>4</b:RefOrder>
  </b:Source>
</b:Sources>
</file>

<file path=customXml/itemProps1.xml><?xml version="1.0" encoding="utf-8"?>
<ds:datastoreItem xmlns:ds="http://schemas.openxmlformats.org/officeDocument/2006/customXml" ds:itemID="{F999D8F6-569A-4944-8306-8D332F94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34</TotalTime>
  <Pages>4</Pages>
  <Words>1490</Words>
  <Characters>8497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2015-02-06T21:02:00Z</dcterms:created>
  <dcterms:modified xsi:type="dcterms:W3CDTF">2015-02-09T20:36:00Z</dcterms:modified>
</cp:coreProperties>
</file>