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D82C8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D82C8F">
                <w:pPr>
                  <w:jc w:val="center"/>
                  <w:rPr>
                    <w:b/>
                    <w:color w:val="FFFFFF" w:themeColor="background1"/>
                  </w:rPr>
                </w:pPr>
                <w:r w:rsidRPr="00CC586D">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EndPr/>
          <w:sdtContent>
            <w:tc>
              <w:tcPr>
                <w:tcW w:w="2073" w:type="dxa"/>
              </w:tcPr>
              <w:p w14:paraId="046B8220" w14:textId="2D4AFFC4" w:rsidR="00B574C9" w:rsidRPr="00C55FAE" w:rsidRDefault="00D82C8F" w:rsidP="00D82C8F">
                <w:pPr>
                  <w:rPr>
                    <w:color w:val="000000" w:themeColor="text1"/>
                    <w:sz w:val="24"/>
                    <w:szCs w:val="24"/>
                  </w:rPr>
                </w:pPr>
                <w:r w:rsidRPr="00D82C8F">
                  <w:rPr>
                    <w:color w:val="000000" w:themeColor="text1"/>
                  </w:rPr>
                  <w:t>Bonnie</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D82C8F">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0326D8F9" w:rsidR="00B574C9" w:rsidRPr="00C55FAE" w:rsidRDefault="00D82C8F" w:rsidP="00D82C8F">
                <w:proofErr w:type="spellStart"/>
                <w:r w:rsidRPr="00D82C8F">
                  <w:t>Roos</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D82C8F">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D82C8F">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D82C8F">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1E8654FA" w:rsidR="00B574C9" w:rsidRDefault="00CC1C35" w:rsidP="00CC1C35">
                <w:r>
                  <w:t>West Texas A&amp;M University</w:t>
                </w:r>
              </w:p>
            </w:tc>
          </w:sdtContent>
        </w:sdt>
      </w:tr>
    </w:tbl>
    <w:p w14:paraId="382B8119" w14:textId="77777777" w:rsidR="003D3579" w:rsidRDefault="003D3579" w:rsidP="00D82C8F">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D82C8F">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F265095" w:rsidR="003F0D73" w:rsidRPr="00FB589A" w:rsidRDefault="00824BE8" w:rsidP="00D82C8F">
                <w:pPr>
                  <w:rPr>
                    <w:b/>
                  </w:rPr>
                </w:pPr>
                <w:r w:rsidRPr="007A1D16">
                  <w:t xml:space="preserve">Barnes, </w:t>
                </w:r>
                <w:proofErr w:type="spellStart"/>
                <w:r w:rsidRPr="007A1D16">
                  <w:t>Djuna</w:t>
                </w:r>
                <w:proofErr w:type="spellEnd"/>
                <w:r w:rsidRPr="007A1D16">
                  <w:t xml:space="preserve"> (1892-1982)</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D82C8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84CB131" w:rsidR="00E85A05" w:rsidRDefault="00BA436E" w:rsidP="00B36773">
                <w:proofErr w:type="spellStart"/>
                <w:r w:rsidRPr="00BA436E">
                  <w:t>Djuna</w:t>
                </w:r>
                <w:proofErr w:type="spellEnd"/>
                <w:r w:rsidRPr="00BA436E">
                  <w:t xml:space="preserve"> Barnes</w:t>
                </w:r>
                <w:r>
                  <w:t xml:space="preserve"> was a significant U.S. American literary figure of Paris of the 1920s and 1930s, but became a recluse of New York’s </w:t>
                </w:r>
                <w:proofErr w:type="spellStart"/>
                <w:r>
                  <w:t>Patchin</w:t>
                </w:r>
                <w:proofErr w:type="spellEnd"/>
                <w:r>
                  <w:t xml:space="preserve"> Place in the 1940s, ending her life in obscure poverty. Barnes worked as a poet, journalist, illustrator, playwright, reviewer, and novelist. Her most recognized writings include </w:t>
                </w:r>
                <w:r>
                  <w:rPr>
                    <w:i/>
                  </w:rPr>
                  <w:t>The Book of Repulsive Women</w:t>
                </w:r>
                <w:r>
                  <w:t xml:space="preserve"> (produced 1915), </w:t>
                </w:r>
                <w:r>
                  <w:rPr>
                    <w:i/>
                  </w:rPr>
                  <w:t>Ryder</w:t>
                </w:r>
                <w:r>
                  <w:t xml:space="preserve"> (1928), </w:t>
                </w:r>
                <w:r>
                  <w:rPr>
                    <w:i/>
                  </w:rPr>
                  <w:t xml:space="preserve">Ladies </w:t>
                </w:r>
                <w:proofErr w:type="spellStart"/>
                <w:r>
                  <w:rPr>
                    <w:i/>
                  </w:rPr>
                  <w:t>Almanack</w:t>
                </w:r>
                <w:proofErr w:type="spellEnd"/>
                <w:r>
                  <w:t xml:space="preserve"> (1928), </w:t>
                </w:r>
                <w:proofErr w:type="spellStart"/>
                <w:r>
                  <w:rPr>
                    <w:i/>
                  </w:rPr>
                  <w:t>Nightwood</w:t>
                </w:r>
                <w:proofErr w:type="spellEnd"/>
                <w:r>
                  <w:t xml:space="preserve"> (1936), </w:t>
                </w:r>
                <w:r>
                  <w:rPr>
                    <w:i/>
                  </w:rPr>
                  <w:t>The Antiphon</w:t>
                </w:r>
                <w:r>
                  <w:t xml:space="preserve"> (1958), and </w:t>
                </w:r>
                <w:r>
                  <w:rPr>
                    <w:i/>
                  </w:rPr>
                  <w:t>Creatures in an Alphabet</w:t>
                </w:r>
                <w:r>
                  <w:t xml:space="preserve"> (1982). </w:t>
                </w:r>
              </w:p>
            </w:tc>
          </w:sdtContent>
        </w:sdt>
      </w:tr>
      <w:tr w:rsidR="003F0D73" w14:paraId="63D8B75E" w14:textId="77777777" w:rsidTr="003F0D73">
        <w:tc>
          <w:tcPr>
            <w:tcW w:w="9016" w:type="dxa"/>
            <w:tcMar>
              <w:top w:w="113" w:type="dxa"/>
              <w:bottom w:w="113" w:type="dxa"/>
            </w:tcMar>
          </w:tcPr>
          <w:p w14:paraId="49A48D0D" w14:textId="004B9587" w:rsidR="00824BE8" w:rsidRDefault="00824BE8" w:rsidP="00D82C8F">
            <w:proofErr w:type="spellStart"/>
            <w:r w:rsidRPr="00BA436E">
              <w:t>Djuna</w:t>
            </w:r>
            <w:proofErr w:type="spellEnd"/>
            <w:r w:rsidRPr="00BA436E">
              <w:t xml:space="preserve"> Barnes</w:t>
            </w:r>
            <w:r>
              <w:t xml:space="preserve"> was a significant U.S. American literary figure of Paris of the 1920s and </w:t>
            </w:r>
            <w:r w:rsidR="00CB145D">
              <w:t>19</w:t>
            </w:r>
            <w:r>
              <w:t xml:space="preserve">30s, but became a recluse of New York’s </w:t>
            </w:r>
            <w:proofErr w:type="spellStart"/>
            <w:r>
              <w:t>Patchin</w:t>
            </w:r>
            <w:proofErr w:type="spellEnd"/>
            <w:r>
              <w:t xml:space="preserve"> Place in the 1940s, ending her life in obscure poverty. She is best known for her experimental novel </w:t>
            </w:r>
            <w:proofErr w:type="spellStart"/>
            <w:r>
              <w:rPr>
                <w:i/>
              </w:rPr>
              <w:t>Nightwood</w:t>
            </w:r>
            <w:proofErr w:type="spellEnd"/>
            <w:r>
              <w:rPr>
                <w:i/>
              </w:rPr>
              <w:t>,</w:t>
            </w:r>
            <w:r>
              <w:t xml:space="preserve"> one of the most influential works of modernist fiction, and for her caustic wit. Barnes worked as a poet, journalist, illustrator, playwright, reviewer, and novelist. Her most recognized writings include </w:t>
            </w:r>
            <w:r>
              <w:rPr>
                <w:i/>
              </w:rPr>
              <w:t>The Book of Repulsive Women</w:t>
            </w:r>
            <w:r>
              <w:t xml:space="preserve"> (produced 1915), </w:t>
            </w:r>
            <w:r>
              <w:rPr>
                <w:i/>
              </w:rPr>
              <w:t>Ryder</w:t>
            </w:r>
            <w:r>
              <w:t xml:space="preserve"> (1928), </w:t>
            </w:r>
            <w:r>
              <w:rPr>
                <w:i/>
              </w:rPr>
              <w:t xml:space="preserve">Ladies </w:t>
            </w:r>
            <w:proofErr w:type="spellStart"/>
            <w:r>
              <w:rPr>
                <w:i/>
              </w:rPr>
              <w:t>Almanack</w:t>
            </w:r>
            <w:proofErr w:type="spellEnd"/>
            <w:r>
              <w:t xml:space="preserve"> (1928), </w:t>
            </w:r>
            <w:proofErr w:type="spellStart"/>
            <w:r>
              <w:rPr>
                <w:i/>
              </w:rPr>
              <w:t>Nightwood</w:t>
            </w:r>
            <w:proofErr w:type="spellEnd"/>
            <w:r>
              <w:t xml:space="preserve"> (1936), </w:t>
            </w:r>
            <w:r>
              <w:rPr>
                <w:i/>
              </w:rPr>
              <w:t>The Antiphon</w:t>
            </w:r>
            <w:r>
              <w:t xml:space="preserve"> (1958), and </w:t>
            </w:r>
            <w:r>
              <w:rPr>
                <w:i/>
              </w:rPr>
              <w:t>Creatures in an Alphabet</w:t>
            </w:r>
            <w:r>
              <w:t xml:space="preserve"> (1982). </w:t>
            </w:r>
          </w:p>
          <w:p w14:paraId="48C405A3" w14:textId="77777777" w:rsidR="00824BE8" w:rsidRDefault="00824BE8" w:rsidP="00D82C8F"/>
          <w:p w14:paraId="231916DB" w14:textId="71366BD5" w:rsidR="00824BE8" w:rsidRDefault="00824BE8" w:rsidP="00D82C8F">
            <w:r>
              <w:t xml:space="preserve">Barnes’s first novel, </w:t>
            </w:r>
            <w:r>
              <w:rPr>
                <w:i/>
              </w:rPr>
              <w:t xml:space="preserve">Ryder </w:t>
            </w:r>
            <w:r w:rsidR="00CB145D">
              <w:t>(1928), details fifty</w:t>
            </w:r>
            <w:r>
              <w:t xml:space="preserve"> years of the fictional Ryder family; the same year, </w:t>
            </w:r>
            <w:r>
              <w:rPr>
                <w:i/>
              </w:rPr>
              <w:t xml:space="preserve">Ladies </w:t>
            </w:r>
            <w:proofErr w:type="spellStart"/>
            <w:r>
              <w:rPr>
                <w:i/>
              </w:rPr>
              <w:t>Almanack</w:t>
            </w:r>
            <w:proofErr w:type="spellEnd"/>
            <w:r>
              <w:t xml:space="preserve">, understood as a </w:t>
            </w:r>
            <w:r>
              <w:rPr>
                <w:i/>
              </w:rPr>
              <w:t>roman à clef</w:t>
            </w:r>
            <w:r>
              <w:t xml:space="preserve"> novel parodying participants of Natalie Barney’s salon, was privately published. Many of the qualities of satire, dark humo</w:t>
            </w:r>
            <w:r w:rsidR="00B36773">
              <w:t>u</w:t>
            </w:r>
            <w:r>
              <w:t xml:space="preserve">r, and surrealism for which Barnes is known are visible in </w:t>
            </w:r>
            <w:r>
              <w:rPr>
                <w:i/>
              </w:rPr>
              <w:t>Ryder</w:t>
            </w:r>
            <w:r>
              <w:t xml:space="preserve"> and </w:t>
            </w:r>
            <w:r>
              <w:rPr>
                <w:i/>
              </w:rPr>
              <w:t xml:space="preserve">Ladies </w:t>
            </w:r>
            <w:proofErr w:type="spellStart"/>
            <w:r>
              <w:rPr>
                <w:i/>
              </w:rPr>
              <w:t>Almanack</w:t>
            </w:r>
            <w:proofErr w:type="spellEnd"/>
            <w:r>
              <w:rPr>
                <w:i/>
              </w:rPr>
              <w:t>.</w:t>
            </w:r>
            <w:r>
              <w:t xml:space="preserve"> But it is </w:t>
            </w:r>
            <w:proofErr w:type="spellStart"/>
            <w:r>
              <w:rPr>
                <w:i/>
              </w:rPr>
              <w:t>Nightwood</w:t>
            </w:r>
            <w:proofErr w:type="spellEnd"/>
            <w:r>
              <w:rPr>
                <w:i/>
              </w:rPr>
              <w:t>,</w:t>
            </w:r>
            <w:r>
              <w:t xml:space="preserve"> Barnes's third novel, that critics see as her most successful work. </w:t>
            </w:r>
          </w:p>
          <w:p w14:paraId="148EA4D4" w14:textId="77777777" w:rsidR="00824BE8" w:rsidRDefault="00824BE8" w:rsidP="00D82C8F"/>
          <w:p w14:paraId="3F56279E" w14:textId="08C3D46F" w:rsidR="00824BE8" w:rsidRDefault="000D6688" w:rsidP="00D82C8F">
            <w:r w:rsidRPr="000D6688">
              <w:t>Championed and introduced by T.</w:t>
            </w:r>
            <w:r w:rsidR="00824BE8" w:rsidRPr="000D6688">
              <w:t>S. Eliot, who shepherded the book through publication at Faber &amp; Faber</w:t>
            </w:r>
            <w:r w:rsidR="00824BE8">
              <w:t xml:space="preserve">, </w:t>
            </w:r>
            <w:proofErr w:type="spellStart"/>
            <w:r w:rsidR="00824BE8">
              <w:rPr>
                <w:i/>
              </w:rPr>
              <w:t>Nightwood</w:t>
            </w:r>
            <w:proofErr w:type="spellEnd"/>
            <w:r w:rsidR="00824BE8">
              <w:t xml:space="preserve"> traces the intrigues of circus publicist Nora Flood in 1920s Paris, especially those involving her lover, the young woman Robin Vote, and the transvestite </w:t>
            </w:r>
            <w:proofErr w:type="spellStart"/>
            <w:r w:rsidR="00824BE8">
              <w:t>Dr.</w:t>
            </w:r>
            <w:proofErr w:type="spellEnd"/>
            <w:r w:rsidR="00824BE8">
              <w:t xml:space="preserve"> Matthew O’Connor. Most critics believe that </w:t>
            </w:r>
            <w:proofErr w:type="spellStart"/>
            <w:r w:rsidR="00824BE8">
              <w:rPr>
                <w:i/>
              </w:rPr>
              <w:t>Nightwood</w:t>
            </w:r>
            <w:proofErr w:type="spellEnd"/>
            <w:r w:rsidR="00824BE8">
              <w:t xml:space="preserve"> is without cohesive narrative structure or conventionally developed characters. Yet the work attracted praise from preeminent Modernists including Ernst Hemingway, </w:t>
            </w:r>
            <w:r w:rsidR="00B36773">
              <w:t xml:space="preserve">James Joyce, and Dylan Thomas — </w:t>
            </w:r>
            <w:r w:rsidR="00824BE8">
              <w:t xml:space="preserve">who ambivalently identified </w:t>
            </w:r>
            <w:proofErr w:type="spellStart"/>
            <w:r w:rsidR="00824BE8">
              <w:rPr>
                <w:i/>
              </w:rPr>
              <w:t>Nightwood</w:t>
            </w:r>
            <w:proofErr w:type="spellEnd"/>
            <w:r>
              <w:t xml:space="preserve"> one of three best prose novels</w:t>
            </w:r>
            <w:r w:rsidR="00824BE8">
              <w:t xml:space="preserve"> written by a woman. Despite such accolades, the novel remains one of the most under</w:t>
            </w:r>
            <w:r w:rsidR="00F2107B">
              <w:t>-</w:t>
            </w:r>
            <w:r w:rsidR="00824BE8">
              <w:t xml:space="preserve">read works of Modernist canon. </w:t>
            </w:r>
          </w:p>
          <w:p w14:paraId="673AA0A1" w14:textId="77777777" w:rsidR="00824BE8" w:rsidRDefault="00824BE8" w:rsidP="00D82C8F"/>
          <w:p w14:paraId="4F311E39" w14:textId="6088C119" w:rsidR="00824BE8" w:rsidRDefault="00824BE8" w:rsidP="00D82C8F">
            <w:r>
              <w:t xml:space="preserve">By 1940, Barnes returned to New York City, and finished her play </w:t>
            </w:r>
            <w:r>
              <w:rPr>
                <w:i/>
              </w:rPr>
              <w:t>The Antiphon</w:t>
            </w:r>
            <w:r w:rsidR="00B36773">
              <w:t xml:space="preserve"> (1948) — </w:t>
            </w:r>
            <w:r>
              <w:t>a tale about a drunken family reunion that was champ</w:t>
            </w:r>
            <w:r w:rsidR="00F2107B">
              <w:t>ioned and tr</w:t>
            </w:r>
            <w:r w:rsidR="00B36773">
              <w:t xml:space="preserve">anslated by then U.N. Secretary — </w:t>
            </w:r>
            <w:r>
              <w:t xml:space="preserve">General Dag Hammarskjöld. Though she struggled with alcoholism, Barnes continued work on poetry, including her collection </w:t>
            </w:r>
            <w:r>
              <w:rPr>
                <w:i/>
              </w:rPr>
              <w:t>Creatures in an Alphabet</w:t>
            </w:r>
            <w:r>
              <w:t xml:space="preserve"> (1982), published posthumously, </w:t>
            </w:r>
            <w:r w:rsidR="00F2107B">
              <w:t>and left behind an unpublished</w:t>
            </w:r>
            <w:r>
              <w:t xml:space="preserve"> biography of Baroness Elsa von Freytag-</w:t>
            </w:r>
            <w:proofErr w:type="spellStart"/>
            <w:r>
              <w:t>Loringhoven</w:t>
            </w:r>
            <w:proofErr w:type="spellEnd"/>
            <w:r>
              <w:t>.</w:t>
            </w:r>
          </w:p>
          <w:p w14:paraId="2A615377" w14:textId="77777777" w:rsidR="00824BE8" w:rsidRDefault="00824BE8" w:rsidP="00D82C8F"/>
          <w:p w14:paraId="1ED4C6BB" w14:textId="7C70EC30" w:rsidR="00000B0D" w:rsidRPr="00000B0D" w:rsidRDefault="00824BE8" w:rsidP="00D82C8F">
            <w:r>
              <w:t>Despite early acclaim, Barnes’s writing faded in popularity by the middle of the 20</w:t>
            </w:r>
            <w:r>
              <w:rPr>
                <w:vertAlign w:val="superscript"/>
              </w:rPr>
              <w:t>th</w:t>
            </w:r>
            <w:r>
              <w:t xml:space="preserve"> century. But </w:t>
            </w:r>
            <w:r>
              <w:lastRenderedPageBreak/>
              <w:t xml:space="preserve">feminist and queer theorists revived critical interest in </w:t>
            </w:r>
            <w:proofErr w:type="spellStart"/>
            <w:r>
              <w:rPr>
                <w:i/>
              </w:rPr>
              <w:t>Nightwood</w:t>
            </w:r>
            <w:proofErr w:type="spellEnd"/>
            <w:r>
              <w:t xml:space="preserve"> and Barnes’s other writings during the 1980s by identifying various characters from the story as taken from life: Robin Vote is identified as silverpoint artist Thelma Wood, a woman Barnes claimed to have loved, while Nora Flood is seen as Barnes herself. While later scholarship expands an increasingly complex understanding of Barnes’s craft, exemplified in investigations of issues of race and class among others, biographical approaches still underpin much of Barnes criticism, leaving the door open for scholars to dismiss her wo</w:t>
            </w:r>
            <w:bookmarkStart w:id="0" w:name="_GoBack"/>
            <w:bookmarkEnd w:id="0"/>
            <w:r>
              <w:t xml:space="preserve">rk as little more than personal diaries. Works from Mary Lynn </w:t>
            </w:r>
            <w:proofErr w:type="spellStart"/>
            <w:r>
              <w:t>Broë’s</w:t>
            </w:r>
            <w:proofErr w:type="spellEnd"/>
            <w:r>
              <w:t xml:space="preserve"> collection </w:t>
            </w:r>
            <w:r>
              <w:rPr>
                <w:i/>
              </w:rPr>
              <w:t>Silence and Power</w:t>
            </w:r>
            <w:r w:rsidR="00D812E9">
              <w:t xml:space="preserve">, Daniela </w:t>
            </w:r>
            <w:proofErr w:type="spellStart"/>
            <w:r w:rsidR="00D812E9">
              <w:t>Cas</w:t>
            </w:r>
            <w:r>
              <w:t>el</w:t>
            </w:r>
            <w:r w:rsidR="00D812E9">
              <w:t>l</w:t>
            </w:r>
            <w:r>
              <w:t>i’s</w:t>
            </w:r>
            <w:proofErr w:type="spellEnd"/>
            <w:r>
              <w:t xml:space="preserve"> </w:t>
            </w:r>
            <w:r>
              <w:rPr>
                <w:i/>
              </w:rPr>
              <w:t>Improper Modernism</w:t>
            </w:r>
            <w:r>
              <w:t xml:space="preserve">, Diane Warren’s </w:t>
            </w:r>
            <w:r>
              <w:rPr>
                <w:i/>
              </w:rPr>
              <w:t>Consuming Fictions</w:t>
            </w:r>
            <w:r>
              <w:t xml:space="preserve">, Erin G. </w:t>
            </w:r>
            <w:proofErr w:type="spellStart"/>
            <w:r>
              <w:t>Carlston’s</w:t>
            </w:r>
            <w:proofErr w:type="spellEnd"/>
            <w:r>
              <w:t xml:space="preserve"> </w:t>
            </w:r>
            <w:r>
              <w:rPr>
                <w:i/>
              </w:rPr>
              <w:t>Thinking Fascism</w:t>
            </w:r>
            <w:r>
              <w:t xml:space="preserve">, Monika </w:t>
            </w:r>
            <w:proofErr w:type="spellStart"/>
            <w:r>
              <w:t>Faltejskova’s</w:t>
            </w:r>
            <w:proofErr w:type="spellEnd"/>
            <w:r>
              <w:t xml:space="preserve"> </w:t>
            </w:r>
            <w:proofErr w:type="spellStart"/>
            <w:r>
              <w:rPr>
                <w:i/>
              </w:rPr>
              <w:t>Djuna</w:t>
            </w:r>
            <w:proofErr w:type="spellEnd"/>
            <w:r>
              <w:rPr>
                <w:i/>
              </w:rPr>
              <w:t xml:space="preserve"> Barnes, T. S. Eliot, and the Gender Dynamics of Modernism</w:t>
            </w:r>
            <w:r>
              <w:t xml:space="preserve">, and Julie Taylor’s </w:t>
            </w:r>
            <w:proofErr w:type="spellStart"/>
            <w:r>
              <w:rPr>
                <w:i/>
              </w:rPr>
              <w:t>Djuna</w:t>
            </w:r>
            <w:proofErr w:type="spellEnd"/>
            <w:r>
              <w:rPr>
                <w:i/>
              </w:rPr>
              <w:t xml:space="preserve"> Barnes and Affective Modernism</w:t>
            </w:r>
            <w:r>
              <w:t xml:space="preserve"> have done much to reassert Barnes’s well-deserved reputation and recover the extraordinary power of her craft. </w:t>
            </w:r>
          </w:p>
        </w:tc>
      </w:tr>
      <w:tr w:rsidR="003235A7" w14:paraId="323C43D7" w14:textId="77777777" w:rsidTr="003235A7">
        <w:tc>
          <w:tcPr>
            <w:tcW w:w="9016" w:type="dxa"/>
          </w:tcPr>
          <w:p w14:paraId="2276D945" w14:textId="357BA04B" w:rsidR="003235A7" w:rsidRDefault="003235A7" w:rsidP="00D82C8F">
            <w:r w:rsidRPr="0015114C">
              <w:rPr>
                <w:u w:val="single"/>
              </w:rPr>
              <w:lastRenderedPageBreak/>
              <w:t>Further reading</w:t>
            </w:r>
            <w:r>
              <w:t>:</w:t>
            </w:r>
          </w:p>
          <w:p w14:paraId="5BDCFF28" w14:textId="77777777" w:rsidR="007A1D16" w:rsidRDefault="007A1D16" w:rsidP="00D82C8F"/>
          <w:p w14:paraId="2BC9513E" w14:textId="63F17DA5" w:rsidR="00C172DC" w:rsidRPr="002A756B" w:rsidRDefault="007A1D16" w:rsidP="00D82C8F">
            <w:sdt>
              <w:sdtPr>
                <w:id w:val="-1079907154"/>
                <w:citation/>
              </w:sdtPr>
              <w:sdtEndPr/>
              <w:sdtContent>
                <w:r w:rsidR="001603EB">
                  <w:fldChar w:fldCharType="begin"/>
                </w:r>
                <w:r w:rsidR="001603EB">
                  <w:rPr>
                    <w:lang w:val="en-US"/>
                  </w:rPr>
                  <w:instrText xml:space="preserve"> CITATION Bro91 \l 1033 </w:instrText>
                </w:r>
                <w:r w:rsidR="001603EB">
                  <w:fldChar w:fldCharType="separate"/>
                </w:r>
                <w:r w:rsidR="001603EB" w:rsidRPr="001603EB">
                  <w:rPr>
                    <w:noProof/>
                    <w:lang w:val="en-US"/>
                  </w:rPr>
                  <w:t>(Broë)</w:t>
                </w:r>
                <w:r w:rsidR="001603EB">
                  <w:fldChar w:fldCharType="end"/>
                </w:r>
              </w:sdtContent>
            </w:sdt>
          </w:p>
          <w:p w14:paraId="7964B6BE" w14:textId="77777777" w:rsidR="00B36773" w:rsidRDefault="00B36773" w:rsidP="00D82C8F"/>
          <w:p w14:paraId="2BA58A1F" w14:textId="74959F85" w:rsidR="00C172DC" w:rsidRDefault="007A1D16" w:rsidP="00D82C8F">
            <w:sdt>
              <w:sdtPr>
                <w:id w:val="801499513"/>
                <w:citation/>
              </w:sdtPr>
              <w:sdtEndPr/>
              <w:sdtContent>
                <w:r w:rsidR="001603EB">
                  <w:fldChar w:fldCharType="begin"/>
                </w:r>
                <w:r w:rsidR="001603EB">
                  <w:rPr>
                    <w:lang w:val="en-US"/>
                  </w:rPr>
                  <w:instrText xml:space="preserve"> CITATION Car98 \l 1033 </w:instrText>
                </w:r>
                <w:r w:rsidR="001603EB">
                  <w:fldChar w:fldCharType="separate"/>
                </w:r>
                <w:r w:rsidR="001603EB" w:rsidRPr="001603EB">
                  <w:rPr>
                    <w:noProof/>
                    <w:lang w:val="en-US"/>
                  </w:rPr>
                  <w:t>(Carlston)</w:t>
                </w:r>
                <w:r w:rsidR="001603EB">
                  <w:fldChar w:fldCharType="end"/>
                </w:r>
              </w:sdtContent>
            </w:sdt>
          </w:p>
          <w:p w14:paraId="09137B50" w14:textId="77777777" w:rsidR="00B36773" w:rsidRDefault="00B36773" w:rsidP="00D82C8F"/>
          <w:p w14:paraId="00CA7EFF" w14:textId="7256E124" w:rsidR="008A5E66" w:rsidRDefault="007A1D16" w:rsidP="00D82C8F">
            <w:sdt>
              <w:sdtPr>
                <w:id w:val="-2082826470"/>
                <w:citation/>
              </w:sdtPr>
              <w:sdtEndPr/>
              <w:sdtContent>
                <w:r w:rsidR="001603EB">
                  <w:fldChar w:fldCharType="begin"/>
                </w:r>
                <w:r w:rsidR="001603EB">
                  <w:rPr>
                    <w:lang w:val="en-US"/>
                  </w:rPr>
                  <w:instrText xml:space="preserve"> CITATION Fal10 \l 1033 </w:instrText>
                </w:r>
                <w:r w:rsidR="001603EB">
                  <w:fldChar w:fldCharType="separate"/>
                </w:r>
                <w:r w:rsidR="001603EB" w:rsidRPr="001603EB">
                  <w:rPr>
                    <w:noProof/>
                    <w:lang w:val="en-US"/>
                  </w:rPr>
                  <w:t>(Faltejskova)</w:t>
                </w:r>
                <w:r w:rsidR="001603EB">
                  <w:fldChar w:fldCharType="end"/>
                </w:r>
              </w:sdtContent>
            </w:sdt>
            <w:r w:rsidR="001603EB">
              <w:t xml:space="preserve"> </w:t>
            </w:r>
          </w:p>
          <w:p w14:paraId="3E99A55C" w14:textId="77777777" w:rsidR="00B36773" w:rsidRDefault="00B36773" w:rsidP="00D82C8F"/>
          <w:p w14:paraId="63759E06" w14:textId="1321E40D" w:rsidR="00C172DC" w:rsidRPr="00F2107B" w:rsidRDefault="007A1D16" w:rsidP="00D82C8F">
            <w:sdt>
              <w:sdtPr>
                <w:id w:val="36630268"/>
                <w:citation/>
              </w:sdtPr>
              <w:sdtEndPr/>
              <w:sdtContent>
                <w:r w:rsidR="001603EB">
                  <w:fldChar w:fldCharType="begin"/>
                </w:r>
                <w:r w:rsidR="001603EB">
                  <w:rPr>
                    <w:lang w:val="en-US"/>
                  </w:rPr>
                  <w:instrText xml:space="preserve"> CITATION War08 \l 1033 </w:instrText>
                </w:r>
                <w:r w:rsidR="001603EB">
                  <w:fldChar w:fldCharType="separate"/>
                </w:r>
                <w:r w:rsidR="001603EB" w:rsidRPr="001603EB">
                  <w:rPr>
                    <w:noProof/>
                    <w:lang w:val="en-US"/>
                  </w:rPr>
                  <w:t>(Warren)</w:t>
                </w:r>
                <w:r w:rsidR="001603EB">
                  <w:fldChar w:fldCharType="end"/>
                </w:r>
              </w:sdtContent>
            </w:sdt>
          </w:p>
        </w:tc>
      </w:tr>
    </w:tbl>
    <w:p w14:paraId="4D036C04" w14:textId="77777777" w:rsidR="00C27FAB" w:rsidRPr="00F36937" w:rsidRDefault="00C27FAB" w:rsidP="00D82C8F">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D6688"/>
    <w:rsid w:val="000F721C"/>
    <w:rsid w:val="00101B2E"/>
    <w:rsid w:val="00116FA0"/>
    <w:rsid w:val="0015114C"/>
    <w:rsid w:val="001603EB"/>
    <w:rsid w:val="001A21F3"/>
    <w:rsid w:val="001A2537"/>
    <w:rsid w:val="001A6A06"/>
    <w:rsid w:val="001D7C21"/>
    <w:rsid w:val="00210C03"/>
    <w:rsid w:val="002162E2"/>
    <w:rsid w:val="00225C5A"/>
    <w:rsid w:val="00230B10"/>
    <w:rsid w:val="00234353"/>
    <w:rsid w:val="00244BB0"/>
    <w:rsid w:val="002A0A0D"/>
    <w:rsid w:val="002A756B"/>
    <w:rsid w:val="002B0B37"/>
    <w:rsid w:val="0030662D"/>
    <w:rsid w:val="003235A7"/>
    <w:rsid w:val="00347317"/>
    <w:rsid w:val="003677B6"/>
    <w:rsid w:val="003D3579"/>
    <w:rsid w:val="003E2795"/>
    <w:rsid w:val="003F0D73"/>
    <w:rsid w:val="004220D1"/>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7411B9"/>
    <w:rsid w:val="00780D95"/>
    <w:rsid w:val="00780DC7"/>
    <w:rsid w:val="007A0D55"/>
    <w:rsid w:val="007A1D16"/>
    <w:rsid w:val="007B3377"/>
    <w:rsid w:val="007E5F44"/>
    <w:rsid w:val="00800CD3"/>
    <w:rsid w:val="00802B84"/>
    <w:rsid w:val="00821DE3"/>
    <w:rsid w:val="00824BE8"/>
    <w:rsid w:val="00846CE1"/>
    <w:rsid w:val="00853C4A"/>
    <w:rsid w:val="00867BB6"/>
    <w:rsid w:val="00897586"/>
    <w:rsid w:val="008A3713"/>
    <w:rsid w:val="008A5B87"/>
    <w:rsid w:val="008A5E66"/>
    <w:rsid w:val="00922950"/>
    <w:rsid w:val="00991A0C"/>
    <w:rsid w:val="009A7264"/>
    <w:rsid w:val="009D1606"/>
    <w:rsid w:val="009E18A1"/>
    <w:rsid w:val="009E73D7"/>
    <w:rsid w:val="00A27D2C"/>
    <w:rsid w:val="00A614A1"/>
    <w:rsid w:val="00A76FD9"/>
    <w:rsid w:val="00AB436D"/>
    <w:rsid w:val="00AD2F24"/>
    <w:rsid w:val="00AD4844"/>
    <w:rsid w:val="00B219AE"/>
    <w:rsid w:val="00B33145"/>
    <w:rsid w:val="00B36773"/>
    <w:rsid w:val="00B52F8D"/>
    <w:rsid w:val="00B574C9"/>
    <w:rsid w:val="00BA436E"/>
    <w:rsid w:val="00BC39C9"/>
    <w:rsid w:val="00BE5BF7"/>
    <w:rsid w:val="00BF40E1"/>
    <w:rsid w:val="00C172DC"/>
    <w:rsid w:val="00C27FAB"/>
    <w:rsid w:val="00C358D4"/>
    <w:rsid w:val="00C55FAE"/>
    <w:rsid w:val="00C6296B"/>
    <w:rsid w:val="00C701D3"/>
    <w:rsid w:val="00CB145D"/>
    <w:rsid w:val="00CC1C35"/>
    <w:rsid w:val="00CC586D"/>
    <w:rsid w:val="00CF1542"/>
    <w:rsid w:val="00CF3EC5"/>
    <w:rsid w:val="00D656DA"/>
    <w:rsid w:val="00D812E9"/>
    <w:rsid w:val="00D82C8F"/>
    <w:rsid w:val="00D83300"/>
    <w:rsid w:val="00DC6B48"/>
    <w:rsid w:val="00DF01B0"/>
    <w:rsid w:val="00E37922"/>
    <w:rsid w:val="00E76A27"/>
    <w:rsid w:val="00E85A05"/>
    <w:rsid w:val="00E91C88"/>
    <w:rsid w:val="00E95829"/>
    <w:rsid w:val="00EA606C"/>
    <w:rsid w:val="00EB0C8C"/>
    <w:rsid w:val="00EB51FD"/>
    <w:rsid w:val="00EB77DB"/>
    <w:rsid w:val="00ED139F"/>
    <w:rsid w:val="00EF74F7"/>
    <w:rsid w:val="00F2107B"/>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824BE8"/>
    <w:pPr>
      <w:spacing w:after="0" w:line="240" w:lineRule="auto"/>
    </w:pPr>
    <w:rPr>
      <w:rFonts w:ascii="Cambria" w:eastAsia="Cambria" w:hAnsi="Cambria" w:cs="Cambria"/>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824BE8"/>
    <w:pPr>
      <w:spacing w:after="0" w:line="240" w:lineRule="auto"/>
    </w:pPr>
    <w:rPr>
      <w:rFonts w:ascii="Cambria" w:eastAsia="Cambria" w:hAnsi="Cambria" w:cs="Cambria"/>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Bro91</b:Tag>
    <b:SourceType>Book</b:SourceType>
    <b:Guid>{D793B6FB-A52E-234B-ABD6-5D76A73C4A3E}</b:Guid>
    <b:Title>Silence and Power</b:Title>
    <b:City>Carbondale</b:City>
    <b:Publisher>Southern Illinois UP</b:Publisher>
    <b:Year>1991</b:Year>
    <b:Author>
      <b:Author>
        <b:NameList>
          <b:Person>
            <b:Last>Broë</b:Last>
            <b:First>Mary</b:First>
            <b:Middle>Lynn</b:Middle>
          </b:Person>
        </b:NameList>
      </b:Author>
    </b:Author>
    <b:RefOrder>1</b:RefOrder>
  </b:Source>
  <b:Source>
    <b:Tag>Car98</b:Tag>
    <b:SourceType>Book</b:SourceType>
    <b:Guid>{5DE2BA34-CA89-A24A-9A01-09A68DB1C357}</b:Guid>
    <b:Author>
      <b:Author>
        <b:NameList>
          <b:Person>
            <b:Last>Carlston</b:Last>
            <b:First>Erin</b:First>
            <b:Middle>G.</b:Middle>
          </b:Person>
        </b:NameList>
      </b:Author>
    </b:Author>
    <b:Title>Thinking Fascism: Sapphic Modernism and Fascist Modernity</b:Title>
    <b:City>Stanford</b:City>
    <b:StateProvince>California</b:StateProvince>
    <b:Publisher>Stanford UP</b:Publisher>
    <b:Year>1998</b:Year>
    <b:RefOrder>2</b:RefOrder>
  </b:Source>
  <b:Source>
    <b:Tag>Cas09</b:Tag>
    <b:SourceType>Book</b:SourceType>
    <b:Guid>{617D9635-65E3-5342-A9C1-3A8034DFAF45}</b:Guid>
    <b:Author>
      <b:Author>
        <b:NameList>
          <b:Person>
            <b:Last>Caselli</b:Last>
            <b:First>Daniela</b:First>
          </b:Person>
        </b:NameList>
      </b:Author>
    </b:Author>
    <b:Title>Improper Modernism: Djuna Barnes's Bewildering Corpus</b:Title>
    <b:City>Farnham</b:City>
    <b:CountryRegion>England</b:CountryRegion>
    <b:Publisher>Ashgate</b:Publisher>
    <b:Year>2009</b:Year>
    <b:RefOrder>3</b:RefOrder>
  </b:Source>
  <b:Source>
    <b:Tag>Fal10</b:Tag>
    <b:SourceType>Book</b:SourceType>
    <b:Guid>{1A741721-78F0-5248-9A8B-8EB4F2D691FA}</b:Guid>
    <b:Author>
      <b:Author>
        <b:NameList>
          <b:Person>
            <b:Last>Faltejskova</b:Last>
            <b:First>Monika</b:First>
          </b:Person>
        </b:NameList>
      </b:Author>
    </b:Author>
    <b:Title>Djuna Barnes, T. S. Eliot, and the Gender Dynamics of Modernism</b:Title>
    <b:City>London</b:City>
    <b:Publisher>Routledge</b:Publisher>
    <b:Year>2010</b:Year>
    <b:RefOrder>4</b:RefOrder>
  </b:Source>
  <b:Source>
    <b:Tag>Tay12</b:Tag>
    <b:SourceType>Book</b:SourceType>
    <b:Guid>{9AAC683A-BC00-4E4C-A1EE-066D5BC1B031}</b:Guid>
    <b:Author>
      <b:Author>
        <b:NameList>
          <b:Person>
            <b:Last>Taylor</b:Last>
            <b:First>Julie</b:First>
          </b:Person>
        </b:NameList>
      </b:Author>
    </b:Author>
    <b:Title>Djuna Barnes and Affective Modernism</b:Title>
    <b:City>Edinburgh</b:City>
    <b:Publisher>Edinburgh UP</b:Publisher>
    <b:Year>2012</b:Year>
    <b:RefOrder>5</b:RefOrder>
  </b:Source>
  <b:Source>
    <b:Tag>War08</b:Tag>
    <b:SourceType>Book</b:SourceType>
    <b:Guid>{0894570D-FE8F-3C40-B4CE-017AAE9F84E2}</b:Guid>
    <b:Author>
      <b:Author>
        <b:NameList>
          <b:Person>
            <b:Last>Warren</b:Last>
            <b:First>Diane</b:First>
          </b:Person>
        </b:NameList>
      </b:Author>
    </b:Author>
    <b:Title>Djuna Barnes' Consuming Fictions</b:Title>
    <b:City>Aldershot</b:City>
    <b:CountryRegion>England</b:CountryRegion>
    <b:Publisher>Ashgate</b:Publisher>
    <b:Year>2008</b:Year>
    <b:RefOrder>6</b:RefOrder>
  </b:Source>
</b:Sources>
</file>

<file path=customXml/itemProps1.xml><?xml version="1.0" encoding="utf-8"?>
<ds:datastoreItem xmlns:ds="http://schemas.openxmlformats.org/officeDocument/2006/customXml" ds:itemID="{B04E20B9-17D4-BB4D-835A-46507F79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635</Words>
  <Characters>3625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25</cp:revision>
  <dcterms:created xsi:type="dcterms:W3CDTF">2014-06-13T01:01:00Z</dcterms:created>
  <dcterms:modified xsi:type="dcterms:W3CDTF">2014-08-25T14:14:00Z</dcterms:modified>
</cp:coreProperties>
</file>