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917C01144DC0E4C9705715C96D499F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D367B597611243883DC820CABFF85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D7207" w:rsidP="00CD7207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5604B5987B79042B472CBC3A6FF7DE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3A2F6CE04E3B14FBF2E1E2C6ED95505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D7207" w:rsidP="00CD7207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2E7493A9728C748B555B9F754063A4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5D30F550BB864FABA9CDDB2882CF5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CD7207" w:rsidP="00CD7207">
                <w:r>
                  <w:t>McGill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68F48CC89E30449833FC865B0ED54A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D7207" w:rsidP="00CD7207">
                <w:pPr>
                  <w:rPr>
                    <w:b/>
                  </w:rPr>
                </w:pPr>
                <w:proofErr w:type="spellStart"/>
                <w:r w:rsidRPr="00CD7207">
                  <w:t>Mercure</w:t>
                </w:r>
                <w:proofErr w:type="spellEnd"/>
                <w:r w:rsidRPr="00CD7207">
                  <w:t>, Pierre (1927-1966)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9B014D1679FBA4786BA99C1C88F306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58C325343BC9C498EB3661B02A687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CD7207" w:rsidRDefault="00CD7207" w:rsidP="00CD7207">
                <w:pPr>
                  <w:tabs>
                    <w:tab w:val="left" w:pos="3103"/>
                  </w:tabs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In 1952, 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 xml:space="preserve"> became the first director of the CBC musical television broadcasts. His long-standing concern with the interaction between the different arts gave dance and movement an important place in his repertoire, and has left behind him a series of innovative and often visually experime</w:t>
                </w:r>
                <w:bookmarkStart w:id="0" w:name="_GoBack"/>
                <w:bookmarkEnd w:id="0"/>
                <w:r>
                  <w:rPr>
                    <w:lang w:val="en-CA"/>
                  </w:rPr>
                  <w:t xml:space="preserve">ntal productions. He was a student of composers such as Darius Milhaud and Luigi </w:t>
                </w:r>
                <w:proofErr w:type="spellStart"/>
                <w:r>
                  <w:rPr>
                    <w:lang w:val="en-CA"/>
                  </w:rPr>
                  <w:t>Dallapiccola</w:t>
                </w:r>
                <w:proofErr w:type="spellEnd"/>
                <w:r>
                  <w:rPr>
                    <w:lang w:val="en-CA"/>
                  </w:rPr>
                  <w:t xml:space="preserve">, and surrounded himself with professionals of artistic fields as varied as theater (Gabriel </w:t>
                </w:r>
                <w:proofErr w:type="spellStart"/>
                <w:r>
                  <w:rPr>
                    <w:lang w:val="en-CA"/>
                  </w:rPr>
                  <w:t>Charpentier</w:t>
                </w:r>
                <w:proofErr w:type="spellEnd"/>
                <w:r>
                  <w:rPr>
                    <w:lang w:val="en-CA"/>
                  </w:rPr>
                  <w:t xml:space="preserve">), dance (François </w:t>
                </w:r>
                <w:proofErr w:type="spellStart"/>
                <w:r>
                  <w:rPr>
                    <w:lang w:val="en-CA"/>
                  </w:rPr>
                  <w:t>Riopelle</w:t>
                </w:r>
                <w:proofErr w:type="spellEnd"/>
                <w:r>
                  <w:rPr>
                    <w:lang w:val="en-CA"/>
                  </w:rPr>
                  <w:t>) and poetry (</w:t>
                </w:r>
                <w:proofErr w:type="spellStart"/>
                <w:r>
                  <w:rPr>
                    <w:lang w:val="en-CA"/>
                  </w:rPr>
                  <w:t>Fernand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Ouellete</w:t>
                </w:r>
                <w:proofErr w:type="spellEnd"/>
                <w:r>
                  <w:rPr>
                    <w:lang w:val="en-CA"/>
                  </w:rPr>
                  <w:t>). At an early age, he composed symphonic pieces evoking those of Milhaud and Honegger (</w:t>
                </w:r>
                <w:r>
                  <w:rPr>
                    <w:i/>
                    <w:lang w:val="en-CA"/>
                  </w:rPr>
                  <w:t>Kaleidoscope</w:t>
                </w:r>
                <w:r>
                  <w:rPr>
                    <w:lang w:val="en-CA"/>
                  </w:rPr>
                  <w:t xml:space="preserve">, 1948, rev. 1949). Art songs taken from his </w:t>
                </w:r>
                <w:r>
                  <w:rPr>
                    <w:i/>
                    <w:lang w:val="en-CA"/>
                  </w:rPr>
                  <w:t>Dissidence</w:t>
                </w:r>
                <w:r>
                  <w:rPr>
                    <w:lang w:val="en-CA"/>
                  </w:rPr>
                  <w:t xml:space="preserve"> cycle (1955) were later integrated into the </w:t>
                </w:r>
                <w:proofErr w:type="spellStart"/>
                <w:r>
                  <w:rPr>
                    <w:i/>
                    <w:lang w:val="en-CA"/>
                  </w:rPr>
                  <w:t>Cantate</w:t>
                </w:r>
                <w:proofErr w:type="spellEnd"/>
                <w:r>
                  <w:rPr>
                    <w:i/>
                    <w:lang w:val="en-CA"/>
                  </w:rPr>
                  <w:t xml:space="preserve"> pour </w:t>
                </w:r>
                <w:proofErr w:type="spellStart"/>
                <w:r>
                  <w:rPr>
                    <w:i/>
                    <w:lang w:val="en-CA"/>
                  </w:rPr>
                  <w:t>une</w:t>
                </w:r>
                <w:proofErr w:type="spellEnd"/>
                <w:r>
                  <w:rPr>
                    <w:i/>
                    <w:lang w:val="en-CA"/>
                  </w:rPr>
                  <w:t xml:space="preserve"> joie</w:t>
                </w:r>
                <w:r>
                  <w:rPr>
                    <w:lang w:val="en-CA"/>
                  </w:rPr>
                  <w:t xml:space="preserve"> (1955), which became one of his most celebrated works. During the last years of his career,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 xml:space="preserve"> devoted his work to a synthesis of traditional and electronic musical means in a major triptych (</w:t>
                </w:r>
                <w:proofErr w:type="spellStart"/>
                <w:r>
                  <w:rPr>
                    <w:i/>
                    <w:lang w:val="en-CA"/>
                  </w:rPr>
                  <w:t>Psaume</w:t>
                </w:r>
                <w:proofErr w:type="spellEnd"/>
                <w:r>
                  <w:rPr>
                    <w:i/>
                    <w:lang w:val="en-CA"/>
                  </w:rPr>
                  <w:t xml:space="preserve"> pour </w:t>
                </w:r>
                <w:proofErr w:type="spellStart"/>
                <w:r>
                  <w:rPr>
                    <w:i/>
                    <w:lang w:val="en-CA"/>
                  </w:rPr>
                  <w:t>abri</w:t>
                </w:r>
                <w:proofErr w:type="spellEnd"/>
                <w:r>
                  <w:rPr>
                    <w:lang w:val="en-CA"/>
                  </w:rPr>
                  <w:t xml:space="preserve">, 1963; </w:t>
                </w:r>
                <w:proofErr w:type="spellStart"/>
                <w:r>
                  <w:rPr>
                    <w:i/>
                    <w:lang w:val="en-CA"/>
                  </w:rPr>
                  <w:t>Tétrachromie</w:t>
                </w:r>
                <w:proofErr w:type="spellEnd"/>
                <w:r>
                  <w:rPr>
                    <w:lang w:val="en-CA"/>
                  </w:rPr>
                  <w:t xml:space="preserve">, 1963; </w:t>
                </w:r>
                <w:proofErr w:type="spellStart"/>
                <w:r>
                  <w:rPr>
                    <w:i/>
                    <w:lang w:val="en-CA"/>
                  </w:rPr>
                  <w:t>Lignes</w:t>
                </w:r>
                <w:proofErr w:type="spellEnd"/>
                <w:r>
                  <w:rPr>
                    <w:i/>
                    <w:lang w:val="en-CA"/>
                  </w:rPr>
                  <w:t xml:space="preserve"> et points</w:t>
                </w:r>
                <w:r>
                  <w:rPr>
                    <w:lang w:val="en-CA"/>
                  </w:rPr>
                  <w:t xml:space="preserve">, 1964).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8F21B42E5F0C147BFF524EBE9032BD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CD7207" w:rsidRDefault="00CD7207" w:rsidP="00CD7207">
                <w:pPr>
                  <w:tabs>
                    <w:tab w:val="left" w:pos="3103"/>
                  </w:tabs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In 1952, 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 xml:space="preserve"> became the first director of the CBC musical television broadcasts. His long-standing concern with the interaction between the different arts gave dance and movement an important place in his repertoire, and has left behind him a series of innovative and often visually experimental productions. He was a student of composers such as Darius Milhaud and Luigi </w:t>
                </w:r>
                <w:proofErr w:type="spellStart"/>
                <w:r>
                  <w:rPr>
                    <w:lang w:val="en-CA"/>
                  </w:rPr>
                  <w:t>Dallapiccola</w:t>
                </w:r>
                <w:proofErr w:type="spellEnd"/>
                <w:r>
                  <w:rPr>
                    <w:lang w:val="en-CA"/>
                  </w:rPr>
                  <w:t xml:space="preserve">, and surrounded himself with professionals of artistic fields as varied as theater (Gabriel </w:t>
                </w:r>
                <w:proofErr w:type="spellStart"/>
                <w:r>
                  <w:rPr>
                    <w:lang w:val="en-CA"/>
                  </w:rPr>
                  <w:t>Charpentier</w:t>
                </w:r>
                <w:proofErr w:type="spellEnd"/>
                <w:r>
                  <w:rPr>
                    <w:lang w:val="en-CA"/>
                  </w:rPr>
                  <w:t xml:space="preserve">), dance (François </w:t>
                </w:r>
                <w:proofErr w:type="spellStart"/>
                <w:r>
                  <w:rPr>
                    <w:lang w:val="en-CA"/>
                  </w:rPr>
                  <w:t>Riopelle</w:t>
                </w:r>
                <w:proofErr w:type="spellEnd"/>
                <w:r>
                  <w:rPr>
                    <w:lang w:val="en-CA"/>
                  </w:rPr>
                  <w:t>) and poetry (</w:t>
                </w:r>
                <w:proofErr w:type="spellStart"/>
                <w:r>
                  <w:rPr>
                    <w:lang w:val="en-CA"/>
                  </w:rPr>
                  <w:t>Fernand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Ouellete</w:t>
                </w:r>
                <w:proofErr w:type="spellEnd"/>
                <w:r>
                  <w:rPr>
                    <w:lang w:val="en-CA"/>
                  </w:rPr>
                  <w:t>). At an early age, he composed symphonic pieces evoking those of Milhaud and Honegger (</w:t>
                </w:r>
                <w:r>
                  <w:rPr>
                    <w:i/>
                    <w:lang w:val="en-CA"/>
                  </w:rPr>
                  <w:t>Kaleidoscope</w:t>
                </w:r>
                <w:r>
                  <w:rPr>
                    <w:lang w:val="en-CA"/>
                  </w:rPr>
                  <w:t xml:space="preserve">, 1948, rev. 1949). Art songs taken from his </w:t>
                </w:r>
                <w:r>
                  <w:rPr>
                    <w:i/>
                    <w:lang w:val="en-CA"/>
                  </w:rPr>
                  <w:t>Dissidence</w:t>
                </w:r>
                <w:r>
                  <w:rPr>
                    <w:lang w:val="en-CA"/>
                  </w:rPr>
                  <w:t xml:space="preserve"> cycle (1955) were later integrated into the </w:t>
                </w:r>
                <w:proofErr w:type="spellStart"/>
                <w:r>
                  <w:rPr>
                    <w:i/>
                    <w:lang w:val="en-CA"/>
                  </w:rPr>
                  <w:t>Cantate</w:t>
                </w:r>
                <w:proofErr w:type="spellEnd"/>
                <w:r>
                  <w:rPr>
                    <w:i/>
                    <w:lang w:val="en-CA"/>
                  </w:rPr>
                  <w:t xml:space="preserve"> pour </w:t>
                </w:r>
                <w:proofErr w:type="spellStart"/>
                <w:r>
                  <w:rPr>
                    <w:i/>
                    <w:lang w:val="en-CA"/>
                  </w:rPr>
                  <w:t>une</w:t>
                </w:r>
                <w:proofErr w:type="spellEnd"/>
                <w:r>
                  <w:rPr>
                    <w:i/>
                    <w:lang w:val="en-CA"/>
                  </w:rPr>
                  <w:t xml:space="preserve"> joie</w:t>
                </w:r>
                <w:r>
                  <w:rPr>
                    <w:lang w:val="en-CA"/>
                  </w:rPr>
                  <w:t xml:space="preserve"> (1955), which became one of his most celebrated works. During the last years of his career,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 xml:space="preserve"> devoted his work to a synthesis of traditional and electronic musical means in a major triptych (</w:t>
                </w:r>
                <w:proofErr w:type="spellStart"/>
                <w:r>
                  <w:rPr>
                    <w:i/>
                    <w:lang w:val="en-CA"/>
                  </w:rPr>
                  <w:t>Psaume</w:t>
                </w:r>
                <w:proofErr w:type="spellEnd"/>
                <w:r>
                  <w:rPr>
                    <w:i/>
                    <w:lang w:val="en-CA"/>
                  </w:rPr>
                  <w:t xml:space="preserve"> pour </w:t>
                </w:r>
                <w:proofErr w:type="spellStart"/>
                <w:r>
                  <w:rPr>
                    <w:i/>
                    <w:lang w:val="en-CA"/>
                  </w:rPr>
                  <w:t>abri</w:t>
                </w:r>
                <w:proofErr w:type="spellEnd"/>
                <w:r>
                  <w:rPr>
                    <w:lang w:val="en-CA"/>
                  </w:rPr>
                  <w:t xml:space="preserve">, 1963; </w:t>
                </w:r>
                <w:proofErr w:type="spellStart"/>
                <w:r>
                  <w:rPr>
                    <w:i/>
                    <w:lang w:val="en-CA"/>
                  </w:rPr>
                  <w:t>Tétrachromie</w:t>
                </w:r>
                <w:proofErr w:type="spellEnd"/>
                <w:r>
                  <w:rPr>
                    <w:lang w:val="en-CA"/>
                  </w:rPr>
                  <w:t xml:space="preserve">, 1963; </w:t>
                </w:r>
                <w:proofErr w:type="spellStart"/>
                <w:r>
                  <w:rPr>
                    <w:i/>
                    <w:lang w:val="en-CA"/>
                  </w:rPr>
                  <w:t>Lignes</w:t>
                </w:r>
                <w:proofErr w:type="spellEnd"/>
                <w:r>
                  <w:rPr>
                    <w:i/>
                    <w:lang w:val="en-CA"/>
                  </w:rPr>
                  <w:t xml:space="preserve"> et points</w:t>
                </w:r>
                <w:r>
                  <w:rPr>
                    <w:lang w:val="en-CA"/>
                  </w:rPr>
                  <w:t xml:space="preserve">, 1964).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FC0A2BF8429FE498D5F7F3E08FDCBE9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207" w:rsidRDefault="00CD7207" w:rsidP="007A0D55">
      <w:pPr>
        <w:spacing w:after="0" w:line="240" w:lineRule="auto"/>
      </w:pPr>
      <w:r>
        <w:separator/>
      </w:r>
    </w:p>
  </w:endnote>
  <w:endnote w:type="continuationSeparator" w:id="0">
    <w:p w:rsidR="00CD7207" w:rsidRDefault="00CD720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207" w:rsidRDefault="00CD7207" w:rsidP="007A0D55">
      <w:pPr>
        <w:spacing w:after="0" w:line="240" w:lineRule="auto"/>
      </w:pPr>
      <w:r>
        <w:separator/>
      </w:r>
    </w:p>
  </w:footnote>
  <w:footnote w:type="continuationSeparator" w:id="0">
    <w:p w:rsidR="00CD7207" w:rsidRDefault="00CD720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0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7207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D720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D720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17C01144DC0E4C9705715C96D49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E65D3-4AA1-314B-B8AF-E7A75D096187}"/>
      </w:docPartPr>
      <w:docPartBody>
        <w:p w:rsidR="00000000" w:rsidRDefault="004E117A">
          <w:pPr>
            <w:pStyle w:val="5917C01144DC0E4C9705715C96D499F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D367B597611243883DC820CABFF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9EA7-B46A-DE41-8A0D-0F15829E7D57}"/>
      </w:docPartPr>
      <w:docPartBody>
        <w:p w:rsidR="00000000" w:rsidRDefault="004E117A">
          <w:pPr>
            <w:pStyle w:val="7DD367B597611243883DC820CABFF85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5604B5987B79042B472CBC3A6FF7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B6A6A-A6DC-594B-A786-45D0F788FB23}"/>
      </w:docPartPr>
      <w:docPartBody>
        <w:p w:rsidR="00000000" w:rsidRDefault="004E117A">
          <w:pPr>
            <w:pStyle w:val="A5604B5987B79042B472CBC3A6FF7DE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3A2F6CE04E3B14FBF2E1E2C6ED95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A7CBE-6D89-6443-AACB-6DEBE2437CF1}"/>
      </w:docPartPr>
      <w:docPartBody>
        <w:p w:rsidR="00000000" w:rsidRDefault="004E117A">
          <w:pPr>
            <w:pStyle w:val="03A2F6CE04E3B14FBF2E1E2C6ED9550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2E7493A9728C748B555B9F754063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608F7-553D-624E-8870-1C316518CDFF}"/>
      </w:docPartPr>
      <w:docPartBody>
        <w:p w:rsidR="00000000" w:rsidRDefault="004E117A">
          <w:pPr>
            <w:pStyle w:val="72E7493A9728C748B555B9F754063A4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5D30F550BB864FABA9CDDB2882C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135E-AAE0-0048-A5FF-C333B5F3A8A7}"/>
      </w:docPartPr>
      <w:docPartBody>
        <w:p w:rsidR="00000000" w:rsidRDefault="004E117A">
          <w:pPr>
            <w:pStyle w:val="435D30F550BB864FABA9CDDB2882CF5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68F48CC89E30449833FC865B0ED5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B5C2A-6A1A-4E47-BB3C-1F690A3F9305}"/>
      </w:docPartPr>
      <w:docPartBody>
        <w:p w:rsidR="00000000" w:rsidRDefault="004E117A">
          <w:pPr>
            <w:pStyle w:val="768F48CC89E30449833FC865B0ED54A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9B014D1679FBA4786BA99C1C88F3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E67B6-16C4-B940-9E52-0EC759AEC6D3}"/>
      </w:docPartPr>
      <w:docPartBody>
        <w:p w:rsidR="00000000" w:rsidRDefault="004E117A">
          <w:pPr>
            <w:pStyle w:val="79B014D1679FBA4786BA99C1C88F306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58C325343BC9C498EB3661B02A68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EF4B-7B6C-7C4D-8F2C-2257F61DD4F3}"/>
      </w:docPartPr>
      <w:docPartBody>
        <w:p w:rsidR="00000000" w:rsidRDefault="004E117A">
          <w:pPr>
            <w:pStyle w:val="658C325343BC9C498EB3661B02A6878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8F21B42E5F0C147BFF524EBE9032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77BEE-D711-474E-B28D-AA3DEF601341}"/>
      </w:docPartPr>
      <w:docPartBody>
        <w:p w:rsidR="00000000" w:rsidRDefault="004E117A">
          <w:pPr>
            <w:pStyle w:val="18F21B42E5F0C147BFF524EBE9032B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FC0A2BF8429FE498D5F7F3E08FDC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FE830-BBCC-CD4B-9398-34065E1D1655}"/>
      </w:docPartPr>
      <w:docPartBody>
        <w:p w:rsidR="00000000" w:rsidRDefault="004E117A">
          <w:pPr>
            <w:pStyle w:val="CFC0A2BF8429FE498D5F7F3E08FDCBE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17C01144DC0E4C9705715C96D499F4">
    <w:name w:val="5917C01144DC0E4C9705715C96D499F4"/>
  </w:style>
  <w:style w:type="paragraph" w:customStyle="1" w:styleId="7DD367B597611243883DC820CABFF858">
    <w:name w:val="7DD367B597611243883DC820CABFF858"/>
  </w:style>
  <w:style w:type="paragraph" w:customStyle="1" w:styleId="A5604B5987B79042B472CBC3A6FF7DE8">
    <w:name w:val="A5604B5987B79042B472CBC3A6FF7DE8"/>
  </w:style>
  <w:style w:type="paragraph" w:customStyle="1" w:styleId="03A2F6CE04E3B14FBF2E1E2C6ED95505">
    <w:name w:val="03A2F6CE04E3B14FBF2E1E2C6ED95505"/>
  </w:style>
  <w:style w:type="paragraph" w:customStyle="1" w:styleId="72E7493A9728C748B555B9F754063A47">
    <w:name w:val="72E7493A9728C748B555B9F754063A47"/>
  </w:style>
  <w:style w:type="paragraph" w:customStyle="1" w:styleId="435D30F550BB864FABA9CDDB2882CF5E">
    <w:name w:val="435D30F550BB864FABA9CDDB2882CF5E"/>
  </w:style>
  <w:style w:type="paragraph" w:customStyle="1" w:styleId="768F48CC89E30449833FC865B0ED54AB">
    <w:name w:val="768F48CC89E30449833FC865B0ED54AB"/>
  </w:style>
  <w:style w:type="paragraph" w:customStyle="1" w:styleId="79B014D1679FBA4786BA99C1C88F306A">
    <w:name w:val="79B014D1679FBA4786BA99C1C88F306A"/>
  </w:style>
  <w:style w:type="paragraph" w:customStyle="1" w:styleId="658C325343BC9C498EB3661B02A68780">
    <w:name w:val="658C325343BC9C498EB3661B02A68780"/>
  </w:style>
  <w:style w:type="paragraph" w:customStyle="1" w:styleId="18F21B42E5F0C147BFF524EBE9032BDC">
    <w:name w:val="18F21B42E5F0C147BFF524EBE9032BDC"/>
  </w:style>
  <w:style w:type="paragraph" w:customStyle="1" w:styleId="CFC0A2BF8429FE498D5F7F3E08FDCBE9">
    <w:name w:val="CFC0A2BF8429FE498D5F7F3E08FDCB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17C01144DC0E4C9705715C96D499F4">
    <w:name w:val="5917C01144DC0E4C9705715C96D499F4"/>
  </w:style>
  <w:style w:type="paragraph" w:customStyle="1" w:styleId="7DD367B597611243883DC820CABFF858">
    <w:name w:val="7DD367B597611243883DC820CABFF858"/>
  </w:style>
  <w:style w:type="paragraph" w:customStyle="1" w:styleId="A5604B5987B79042B472CBC3A6FF7DE8">
    <w:name w:val="A5604B5987B79042B472CBC3A6FF7DE8"/>
  </w:style>
  <w:style w:type="paragraph" w:customStyle="1" w:styleId="03A2F6CE04E3B14FBF2E1E2C6ED95505">
    <w:name w:val="03A2F6CE04E3B14FBF2E1E2C6ED95505"/>
  </w:style>
  <w:style w:type="paragraph" w:customStyle="1" w:styleId="72E7493A9728C748B555B9F754063A47">
    <w:name w:val="72E7493A9728C748B555B9F754063A47"/>
  </w:style>
  <w:style w:type="paragraph" w:customStyle="1" w:styleId="435D30F550BB864FABA9CDDB2882CF5E">
    <w:name w:val="435D30F550BB864FABA9CDDB2882CF5E"/>
  </w:style>
  <w:style w:type="paragraph" w:customStyle="1" w:styleId="768F48CC89E30449833FC865B0ED54AB">
    <w:name w:val="768F48CC89E30449833FC865B0ED54AB"/>
  </w:style>
  <w:style w:type="paragraph" w:customStyle="1" w:styleId="79B014D1679FBA4786BA99C1C88F306A">
    <w:name w:val="79B014D1679FBA4786BA99C1C88F306A"/>
  </w:style>
  <w:style w:type="paragraph" w:customStyle="1" w:styleId="658C325343BC9C498EB3661B02A68780">
    <w:name w:val="658C325343BC9C498EB3661B02A68780"/>
  </w:style>
  <w:style w:type="paragraph" w:customStyle="1" w:styleId="18F21B42E5F0C147BFF524EBE9032BDC">
    <w:name w:val="18F21B42E5F0C147BFF524EBE9032BDC"/>
  </w:style>
  <w:style w:type="paragraph" w:customStyle="1" w:styleId="CFC0A2BF8429FE498D5F7F3E08FDCBE9">
    <w:name w:val="CFC0A2BF8429FE498D5F7F3E08FDC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079C7FC-FBC7-C447-9C0E-9C3829133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2015-04-04T16:49:00Z</dcterms:created>
  <dcterms:modified xsi:type="dcterms:W3CDTF">2015-04-04T16:53:00Z</dcterms:modified>
</cp:coreProperties>
</file>