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467685D71B24692B88DCB87C061FAA1"/>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6D914F4A567420C974A3710DB24F623"/>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944E8DDB1F4B4929966FFB2B4FC07A5E"/>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532D40A9F06C4B729674AA3C14B7718F"/>
            </w:placeholder>
            <w:text/>
          </w:sdtPr>
          <w:sdtEndPr/>
          <w:sdtContent>
            <w:tc>
              <w:tcPr>
                <w:tcW w:w="2642" w:type="dxa"/>
              </w:tcPr>
              <w:p w:rsidR="00B574C9" w:rsidRDefault="00D85213" w:rsidP="00D85213">
                <w:r>
                  <w:t>Templeton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80433A6B0ECA43C1BD8AE172876C648E"/>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018C0E480D0140A0AFEC060970B6B5B6"/>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006224A8162148C0947E72700E5B8FC6"/>
            </w:placeholder>
            <w:text/>
          </w:sdtPr>
          <w:sdtContent>
            <w:tc>
              <w:tcPr>
                <w:tcW w:w="9016" w:type="dxa"/>
                <w:tcMar>
                  <w:top w:w="113" w:type="dxa"/>
                  <w:bottom w:w="113" w:type="dxa"/>
                </w:tcMar>
              </w:tcPr>
              <w:p w:rsidR="003F0D73" w:rsidRPr="00FB589A" w:rsidRDefault="00241F5A" w:rsidP="00241F5A">
                <w:r w:rsidRPr="00241F5A">
                  <w:rPr>
                    <w:lang w:val="en-US"/>
                  </w:rPr>
                  <w:t>George Antheil (1900– 1959)</w:t>
                </w:r>
              </w:p>
            </w:tc>
          </w:sdtContent>
        </w:sdt>
      </w:tr>
      <w:tr w:rsidR="00464699" w:rsidTr="007821B0">
        <w:sdt>
          <w:sdtPr>
            <w:alias w:val="Variant headwords"/>
            <w:tag w:val="variantHeadwords"/>
            <w:id w:val="173464402"/>
            <w:placeholder>
              <w:docPart w:val="45146B71AFBF42BAB3E65ACB36AF971A"/>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36F8C328F1F4FA4B32F76B16C90DE22"/>
            </w:placeholder>
          </w:sdtPr>
          <w:sdtEndPr/>
          <w:sdtContent>
            <w:tc>
              <w:tcPr>
                <w:tcW w:w="9016" w:type="dxa"/>
                <w:tcMar>
                  <w:top w:w="113" w:type="dxa"/>
                  <w:bottom w:w="113" w:type="dxa"/>
                </w:tcMar>
              </w:tcPr>
              <w:p w:rsidR="00E85A05" w:rsidRDefault="00241F5A" w:rsidP="00E85A05">
                <w:r>
                  <w:rPr>
                    <w:highlight w:val="white"/>
                  </w:rPr>
                  <w:t xml:space="preserve">George Johann Carl Antheil was an American composer, pianist, author, and inventor. He is best-known for his 1924 composition, </w:t>
                </w:r>
                <w:r>
                  <w:rPr>
                    <w:i/>
                    <w:highlight w:val="white"/>
                  </w:rPr>
                  <w:t xml:space="preserve">Ballet </w:t>
                </w:r>
                <w:proofErr w:type="spellStart"/>
                <w:r>
                  <w:rPr>
                    <w:i/>
                    <w:highlight w:val="white"/>
                  </w:rPr>
                  <w:t>Mechanique</w:t>
                </w:r>
                <w:proofErr w:type="spellEnd"/>
                <w:r>
                  <w:rPr>
                    <w:highlight w:val="white"/>
                  </w:rPr>
                  <w:t xml:space="preserve">, originally scored for sixteen player pianos, two grand pianos, </w:t>
                </w:r>
                <w:proofErr w:type="gramStart"/>
                <w:r>
                  <w:rPr>
                    <w:highlight w:val="white"/>
                  </w:rPr>
                  <w:t>an</w:t>
                </w:r>
                <w:proofErr w:type="gramEnd"/>
                <w:r>
                  <w:rPr>
                    <w:highlight w:val="white"/>
                  </w:rPr>
                  <w:t xml:space="preserve"> assortment of percussion, three airplane propellers, and a siren. </w:t>
                </w:r>
                <w:r>
                  <w:t xml:space="preserve"> </w:t>
                </w:r>
                <w:r>
                  <w:rPr>
                    <w:highlight w:val="white"/>
                  </w:rPr>
                  <w:t xml:space="preserve">Antheil was born in Trenton, New Jersey. He began to study piano at age six and travelled first into Philadelphia and later into New York City for lessons.  His time in these cities not only fostered Antheil’s musical development; it also introduced him to European art trends like Dadaism and to Alfred </w:t>
                </w:r>
                <w:proofErr w:type="spellStart"/>
                <w:r>
                  <w:rPr>
                    <w:highlight w:val="white"/>
                  </w:rPr>
                  <w:t>Steiglitz</w:t>
                </w:r>
                <w:proofErr w:type="spellEnd"/>
                <w:r>
                  <w:rPr>
                    <w:highlight w:val="white"/>
                  </w:rPr>
                  <w:t xml:space="preserve"> and Margaret Anderson, key members of the American avant-garde. A polymath, Antheil also wrote a detective novel, his own autobiography, a series of articles on endocrinology, and a regular movie music column. Finally, he collaborated with actress </w:t>
                </w:r>
                <w:proofErr w:type="spellStart"/>
                <w:r>
                  <w:rPr>
                    <w:highlight w:val="white"/>
                  </w:rPr>
                  <w:t>Hedy</w:t>
                </w:r>
                <w:proofErr w:type="spellEnd"/>
                <w:r>
                  <w:rPr>
                    <w:highlight w:val="white"/>
                  </w:rPr>
                  <w:t xml:space="preserve"> </w:t>
                </w:r>
                <w:proofErr w:type="spellStart"/>
                <w:r>
                  <w:rPr>
                    <w:highlight w:val="white"/>
                  </w:rPr>
                  <w:t>LaMarr</w:t>
                </w:r>
                <w:proofErr w:type="spellEnd"/>
                <w:r>
                  <w:rPr>
                    <w:highlight w:val="white"/>
                  </w:rPr>
                  <w:t xml:space="preserve"> in developing the famous technology that is the foundation for much wireless communication: Bluetooth, </w:t>
                </w:r>
                <w:proofErr w:type="spellStart"/>
                <w:r>
                  <w:rPr>
                    <w:highlight w:val="white"/>
                  </w:rPr>
                  <w:t>WiFi</w:t>
                </w:r>
                <w:proofErr w:type="spellEnd"/>
                <w:r>
                  <w:rPr>
                    <w:highlight w:val="white"/>
                  </w:rPr>
                  <w:t>, and cellular networks.</w:t>
                </w:r>
              </w:p>
            </w:tc>
          </w:sdtContent>
        </w:sdt>
      </w:tr>
      <w:tr w:rsidR="003F0D73" w:rsidTr="003F0D73">
        <w:sdt>
          <w:sdtPr>
            <w:alias w:val="Article text"/>
            <w:tag w:val="articleText"/>
            <w:id w:val="634067588"/>
            <w:placeholder>
              <w:docPart w:val="2C6FA2742E3444149D001224E22C5DF2"/>
            </w:placeholder>
          </w:sdtPr>
          <w:sdtEndPr>
            <w:rPr>
              <w:b/>
              <w:color w:val="385623" w:themeColor="accent6" w:themeShade="80"/>
            </w:rPr>
          </w:sdtEndPr>
          <w:sdtContent>
            <w:tc>
              <w:tcPr>
                <w:tcW w:w="9016" w:type="dxa"/>
                <w:tcMar>
                  <w:top w:w="113" w:type="dxa"/>
                  <w:bottom w:w="113" w:type="dxa"/>
                </w:tcMar>
              </w:tcPr>
              <w:p w:rsidR="00241F5A" w:rsidRDefault="00241F5A" w:rsidP="00241F5A">
                <w:r>
                  <w:rPr>
                    <w:highlight w:val="white"/>
                  </w:rPr>
                  <w:t xml:space="preserve">George Johann Carl Antheil was an American composer, pianist, author, and inventor. He is best-known for his 1924 composition, </w:t>
                </w:r>
                <w:r>
                  <w:rPr>
                    <w:i/>
                    <w:highlight w:val="white"/>
                  </w:rPr>
                  <w:t xml:space="preserve">Ballet </w:t>
                </w:r>
                <w:proofErr w:type="spellStart"/>
                <w:r>
                  <w:rPr>
                    <w:i/>
                    <w:highlight w:val="white"/>
                  </w:rPr>
                  <w:t>Mechanique</w:t>
                </w:r>
                <w:proofErr w:type="spellEnd"/>
                <w:r>
                  <w:rPr>
                    <w:highlight w:val="white"/>
                  </w:rPr>
                  <w:t xml:space="preserve">, originally scored for sixteen player pianos, two grand pianos, </w:t>
                </w:r>
                <w:proofErr w:type="gramStart"/>
                <w:r>
                  <w:rPr>
                    <w:highlight w:val="white"/>
                  </w:rPr>
                  <w:t>an</w:t>
                </w:r>
                <w:proofErr w:type="gramEnd"/>
                <w:r>
                  <w:rPr>
                    <w:highlight w:val="white"/>
                  </w:rPr>
                  <w:t xml:space="preserve"> assortment of percussion, three airplane propellers, and a siren. </w:t>
                </w:r>
              </w:p>
              <w:p w:rsidR="00241F5A" w:rsidRDefault="00241F5A" w:rsidP="00241F5A"/>
              <w:p w:rsidR="00241F5A" w:rsidRDefault="00241F5A" w:rsidP="00241F5A">
                <w:r>
                  <w:rPr>
                    <w:highlight w:val="white"/>
                  </w:rPr>
                  <w:t xml:space="preserve">Antheil was born in Trenton, New Jersey. He began to study piano at age six and travelled first into Philadelphia and later into New York City for lessons.  His time in these cities not only fostered Antheil’s musical development; it also introduced him to European art trends like Dadaism and to Alfred </w:t>
                </w:r>
                <w:proofErr w:type="spellStart"/>
                <w:r>
                  <w:rPr>
                    <w:highlight w:val="white"/>
                  </w:rPr>
                  <w:t>Steiglitz</w:t>
                </w:r>
                <w:proofErr w:type="spellEnd"/>
                <w:r>
                  <w:rPr>
                    <w:highlight w:val="white"/>
                  </w:rPr>
                  <w:t xml:space="preserve"> and Margaret Anderson, key members of the American avant-garde. In 1919, Antheil met Mary Curtis Bok, the woman who would be his benefactor for the next twenty years.</w:t>
                </w:r>
              </w:p>
              <w:p w:rsidR="00241F5A" w:rsidRDefault="00241F5A" w:rsidP="00241F5A"/>
              <w:p w:rsidR="00241F5A" w:rsidRDefault="00241F5A" w:rsidP="00241F5A">
                <w:r>
                  <w:rPr>
                    <w:highlight w:val="white"/>
                  </w:rPr>
                  <w:t xml:space="preserve">Antheil became increasingly interested in the work of Igor Stravinsky and </w:t>
                </w:r>
                <w:r>
                  <w:rPr>
                    <w:i/>
                    <w:highlight w:val="white"/>
                  </w:rPr>
                  <w:t>Les Six</w:t>
                </w:r>
                <w:r>
                  <w:rPr>
                    <w:highlight w:val="white"/>
                  </w:rPr>
                  <w:t xml:space="preserve">, a group of experimental French musicians. In 1921, he wrote the first of his own experimental pieces and also began work on his first symphony. Determined to establish himself as a serious musician, he sailed for Europe in 1922. He landed in Berlin and began performing there as well as Vienna and Budapest. In Germany, Antheil met Stravinsky, who encouraged the young American to relocate to Paris. </w:t>
                </w:r>
              </w:p>
              <w:p w:rsidR="00241F5A" w:rsidRDefault="00241F5A" w:rsidP="00241F5A"/>
              <w:p w:rsidR="00241F5A" w:rsidRDefault="00241F5A" w:rsidP="00241F5A">
                <w:r>
                  <w:rPr>
                    <w:highlight w:val="white"/>
                  </w:rPr>
                  <w:t xml:space="preserve">Once in Paris, Antheil found himself at the cultural epicenter of the day. He lived in the apartment upstairs from Sylvia Beach’s celebrated bookstore Shakespeare and Company. Beach introduced him to Ezra Pound, Ernest Hemingway, and James Joyce. Antheil and Pound began collaborating immediately. Antheil helped Pound articulate his musical theories and also assisted with his Villon opera. Pound saw Antheil as a musical </w:t>
                </w:r>
                <w:proofErr w:type="spellStart"/>
                <w:r>
                  <w:rPr>
                    <w:highlight w:val="white"/>
                  </w:rPr>
                  <w:t>Vorticist</w:t>
                </w:r>
                <w:proofErr w:type="spellEnd"/>
                <w:r>
                  <w:rPr>
                    <w:highlight w:val="white"/>
                  </w:rPr>
                  <w:t xml:space="preserve">, and not only wrote </w:t>
                </w:r>
                <w:r>
                  <w:rPr>
                    <w:i/>
                    <w:highlight w:val="white"/>
                  </w:rPr>
                  <w:t>Antheil</w:t>
                </w:r>
                <w:r>
                  <w:rPr>
                    <w:highlight w:val="white"/>
                  </w:rPr>
                  <w:t xml:space="preserve"> </w:t>
                </w:r>
                <w:r>
                  <w:rPr>
                    <w:i/>
                    <w:highlight w:val="white"/>
                  </w:rPr>
                  <w:t xml:space="preserve">and the Treatise on </w:t>
                </w:r>
                <w:r>
                  <w:rPr>
                    <w:i/>
                    <w:highlight w:val="white"/>
                  </w:rPr>
                  <w:lastRenderedPageBreak/>
                  <w:t>Harmony</w:t>
                </w:r>
                <w:r>
                  <w:rPr>
                    <w:highlight w:val="white"/>
                  </w:rPr>
                  <w:t xml:space="preserve"> (1927) but also commissioned work and arranged for the composer’s 1925 Parisian debut. </w:t>
                </w:r>
              </w:p>
              <w:p w:rsidR="00241F5A" w:rsidRDefault="00241F5A" w:rsidP="00241F5A"/>
              <w:p w:rsidR="00241F5A" w:rsidRDefault="00241F5A" w:rsidP="00241F5A">
                <w:r>
                  <w:rPr>
                    <w:i/>
                    <w:highlight w:val="white"/>
                  </w:rPr>
                  <w:t xml:space="preserve">Ballet </w:t>
                </w:r>
                <w:proofErr w:type="spellStart"/>
                <w:r>
                  <w:rPr>
                    <w:i/>
                    <w:highlight w:val="white"/>
                  </w:rPr>
                  <w:t>Mechanique</w:t>
                </w:r>
                <w:proofErr w:type="spellEnd"/>
                <w:r>
                  <w:rPr>
                    <w:highlight w:val="white"/>
                  </w:rPr>
                  <w:t xml:space="preserve"> began as </w:t>
                </w:r>
                <w:proofErr w:type="gramStart"/>
                <w:r>
                  <w:rPr>
                    <w:highlight w:val="white"/>
                  </w:rPr>
                  <w:t>an experimental</w:t>
                </w:r>
                <w:proofErr w:type="gramEnd"/>
                <w:r>
                  <w:rPr>
                    <w:highlight w:val="white"/>
                  </w:rPr>
                  <w:t xml:space="preserve"> film collaboration with Ferdinand Leger, Dudley Murphy, and Man Ray. The association was rocky from the beginning, and ultimately, Antheil premiered his work alone in June 1926 to a riot and wide acclaim. Encouraged by this reception, Antheil arranged for a performance at Carnegie Hall the following April. It was a disaster. Audiences did not appreciate the wind machine aimed directly at the front rows. Worse, the final siren missed its cue, sounding only as the audience was leaving. Reviews were blistering, with one exception by William Carlos Williams for </w:t>
                </w:r>
                <w:r>
                  <w:rPr>
                    <w:i/>
                    <w:highlight w:val="white"/>
                  </w:rPr>
                  <w:t>Transition</w:t>
                </w:r>
                <w:r>
                  <w:rPr>
                    <w:highlight w:val="white"/>
                  </w:rPr>
                  <w:t>.</w:t>
                </w:r>
              </w:p>
              <w:p w:rsidR="00241F5A" w:rsidRDefault="00241F5A" w:rsidP="00241F5A">
                <w:r>
                  <w:rPr>
                    <w:highlight w:val="white"/>
                  </w:rPr>
                  <w:tab/>
                </w:r>
                <w:r>
                  <w:rPr>
                    <w:highlight w:val="white"/>
                  </w:rPr>
                  <w:tab/>
                </w:r>
                <w:r>
                  <w:rPr>
                    <w:highlight w:val="white"/>
                  </w:rPr>
                  <w:tab/>
                </w:r>
                <w:r>
                  <w:rPr>
                    <w:highlight w:val="white"/>
                  </w:rPr>
                  <w:tab/>
                </w:r>
              </w:p>
              <w:p w:rsidR="00241F5A" w:rsidRDefault="00241F5A" w:rsidP="00241F5A">
                <w:r>
                  <w:rPr>
                    <w:highlight w:val="white"/>
                  </w:rPr>
                  <w:t xml:space="preserve">Antheil returned to Paris chastened. He continued to compose, but his work turned conservatively towards neoclassicism. One motivation for the shift was Mrs. Bok, who had cut her support after the </w:t>
                </w:r>
                <w:r>
                  <w:rPr>
                    <w:i/>
                    <w:highlight w:val="white"/>
                  </w:rPr>
                  <w:t xml:space="preserve">Ballet </w:t>
                </w:r>
                <w:proofErr w:type="spellStart"/>
                <w:r>
                  <w:rPr>
                    <w:i/>
                    <w:highlight w:val="white"/>
                  </w:rPr>
                  <w:t>Mechanique</w:t>
                </w:r>
                <w:proofErr w:type="spellEnd"/>
                <w:r>
                  <w:rPr>
                    <w:highlight w:val="white"/>
                  </w:rPr>
                  <w:t xml:space="preserve"> debacle. But Antheil not only wanted to regain his financial footing, he also wanted to rebuild his shattered reputation. In 1928, after an elaborate conspiracy with Pound, Antheil convinced Bok he was no longer under the influence of the </w:t>
                </w:r>
                <w:r w:rsidR="00D85213">
                  <w:rPr>
                    <w:highlight w:val="white"/>
                  </w:rPr>
                  <w:t>scandalous ‘Joyce crowd’,</w:t>
                </w:r>
                <w:r>
                  <w:rPr>
                    <w:highlight w:val="white"/>
                  </w:rPr>
                  <w:t xml:space="preserve"> and she renewed her support (Templeton 77).  He returned to Germany and in 1933 premiered his first opera. Titled </w:t>
                </w:r>
                <w:r>
                  <w:rPr>
                    <w:i/>
                    <w:highlight w:val="white"/>
                  </w:rPr>
                  <w:t>Transatlantic</w:t>
                </w:r>
                <w:r>
                  <w:rPr>
                    <w:highlight w:val="white"/>
                  </w:rPr>
                  <w:t xml:space="preserve">, the work transported ancient Greek characters into Jazz Age New York and was well-received by both critics and audiences. </w:t>
                </w:r>
              </w:p>
              <w:p w:rsidR="00241F5A" w:rsidRDefault="00241F5A" w:rsidP="00241F5A"/>
              <w:p w:rsidR="00241F5A" w:rsidRDefault="00241F5A" w:rsidP="00241F5A">
                <w:r>
                  <w:rPr>
                    <w:highlight w:val="white"/>
                  </w:rPr>
                  <w:t xml:space="preserve">Changes in Germany’s political climate prompted Antheil’s return to the United States in 1933. He settled in New York but relocated to Los Angeles and reinvented himself as a successful film composer, scoring over 30 movies. In addition to his work in Hollywood, Antheil continued to compose instrumental music. A polymath, Antheil also wrote a detective novel, his own autobiography, a series of articles on endocrinology, and a regular movie music column. Finally, he collaborated with actress </w:t>
                </w:r>
                <w:proofErr w:type="spellStart"/>
                <w:r>
                  <w:rPr>
                    <w:highlight w:val="white"/>
                  </w:rPr>
                  <w:t>Hedy</w:t>
                </w:r>
                <w:proofErr w:type="spellEnd"/>
                <w:r>
                  <w:rPr>
                    <w:highlight w:val="white"/>
                  </w:rPr>
                  <w:t xml:space="preserve"> </w:t>
                </w:r>
                <w:proofErr w:type="spellStart"/>
                <w:r>
                  <w:rPr>
                    <w:highlight w:val="white"/>
                  </w:rPr>
                  <w:t>LaMarr</w:t>
                </w:r>
                <w:proofErr w:type="spellEnd"/>
                <w:r>
                  <w:rPr>
                    <w:highlight w:val="white"/>
                  </w:rPr>
                  <w:t xml:space="preserve"> in developing the famous technology that is the foundation for much wireless communication: Bluetooth, </w:t>
                </w:r>
                <w:proofErr w:type="spellStart"/>
                <w:r>
                  <w:rPr>
                    <w:highlight w:val="white"/>
                  </w:rPr>
                  <w:t>WiFi</w:t>
                </w:r>
                <w:proofErr w:type="spellEnd"/>
                <w:r>
                  <w:rPr>
                    <w:highlight w:val="white"/>
                  </w:rPr>
                  <w:t>, and cellular networks.</w:t>
                </w:r>
              </w:p>
              <w:p w:rsidR="00241F5A" w:rsidRDefault="00241F5A" w:rsidP="00241F5A"/>
              <w:p w:rsidR="00241F5A" w:rsidRPr="00DF22C9" w:rsidRDefault="00241F5A" w:rsidP="00241F5A">
                <w:pPr>
                  <w:pStyle w:val="Heading1"/>
                </w:pPr>
                <w:r>
                  <w:rPr>
                    <w:rFonts w:eastAsia="Times New Roman"/>
                  </w:rPr>
                  <w:t>Major</w:t>
                </w:r>
                <w:r>
                  <w:t xml:space="preserve"> Works</w:t>
                </w:r>
              </w:p>
              <w:p w:rsidR="00241F5A" w:rsidRPr="00DF22C9" w:rsidRDefault="00241F5A" w:rsidP="00241F5A">
                <w:pPr>
                  <w:rPr>
                    <w:szCs w:val="24"/>
                  </w:rPr>
                </w:pPr>
                <w:r w:rsidRPr="00DF22C9">
                  <w:rPr>
                    <w:i/>
                    <w:szCs w:val="24"/>
                  </w:rPr>
                  <w:t xml:space="preserve">Ballet </w:t>
                </w:r>
                <w:proofErr w:type="spellStart"/>
                <w:r w:rsidRPr="00DF22C9">
                  <w:rPr>
                    <w:i/>
                    <w:szCs w:val="24"/>
                  </w:rPr>
                  <w:t>Mécanique</w:t>
                </w:r>
                <w:proofErr w:type="spellEnd"/>
                <w:r w:rsidRPr="00DF22C9">
                  <w:rPr>
                    <w:szCs w:val="24"/>
                  </w:rPr>
                  <w:t xml:space="preserve"> (1923–25, revised 1952–53)</w:t>
                </w:r>
              </w:p>
              <w:p w:rsidR="00241F5A" w:rsidRPr="00DF22C9" w:rsidRDefault="00241F5A" w:rsidP="00241F5A">
                <w:pPr>
                  <w:rPr>
                    <w:szCs w:val="24"/>
                  </w:rPr>
                </w:pPr>
                <w:r w:rsidRPr="00DF22C9">
                  <w:rPr>
                    <w:i/>
                    <w:szCs w:val="24"/>
                  </w:rPr>
                  <w:t>A Jazz Symphony</w:t>
                </w:r>
                <w:r w:rsidRPr="00DF22C9">
                  <w:rPr>
                    <w:szCs w:val="24"/>
                  </w:rPr>
                  <w:t xml:space="preserve"> (1925, revised 1955)</w:t>
                </w:r>
              </w:p>
              <w:p w:rsidR="00241F5A" w:rsidRPr="00DF22C9" w:rsidRDefault="00241F5A" w:rsidP="00241F5A">
                <w:pPr>
                  <w:rPr>
                    <w:szCs w:val="24"/>
                  </w:rPr>
                </w:pPr>
                <w:r w:rsidRPr="00DF22C9">
                  <w:rPr>
                    <w:szCs w:val="24"/>
                  </w:rPr>
                  <w:t>Piano Concerto No. 1 (1922)</w:t>
                </w:r>
              </w:p>
              <w:p w:rsidR="00241F5A" w:rsidRPr="00DF22C9" w:rsidRDefault="00241F5A" w:rsidP="00241F5A">
                <w:pPr>
                  <w:rPr>
                    <w:szCs w:val="24"/>
                  </w:rPr>
                </w:pPr>
                <w:r w:rsidRPr="00DF22C9">
                  <w:rPr>
                    <w:szCs w:val="24"/>
                  </w:rPr>
                  <w:t>Violin Sonata No. 1 (1923)</w:t>
                </w:r>
              </w:p>
              <w:p w:rsidR="00241F5A" w:rsidRPr="00DF22C9" w:rsidRDefault="00241F5A" w:rsidP="00241F5A">
                <w:pPr>
                  <w:rPr>
                    <w:szCs w:val="24"/>
                  </w:rPr>
                </w:pPr>
                <w:r w:rsidRPr="00DF22C9">
                  <w:rPr>
                    <w:szCs w:val="24"/>
                  </w:rPr>
                  <w:t>Violin Sonata No. 2 (1923)</w:t>
                </w:r>
              </w:p>
              <w:p w:rsidR="00241F5A" w:rsidRPr="00DF22C9" w:rsidRDefault="00241F5A" w:rsidP="00241F5A">
                <w:pPr>
                  <w:rPr>
                    <w:szCs w:val="24"/>
                  </w:rPr>
                </w:pPr>
                <w:r w:rsidRPr="00DF22C9">
                  <w:rPr>
                    <w:szCs w:val="24"/>
                  </w:rPr>
                  <w:t>Violin Sonata No. 3 (1924)</w:t>
                </w:r>
                <w:bookmarkStart w:id="0" w:name="_GoBack"/>
                <w:bookmarkEnd w:id="0"/>
              </w:p>
              <w:p w:rsidR="00241F5A" w:rsidRPr="00DF22C9" w:rsidRDefault="00241F5A" w:rsidP="00241F5A">
                <w:pPr>
                  <w:rPr>
                    <w:szCs w:val="24"/>
                  </w:rPr>
                </w:pPr>
                <w:r w:rsidRPr="00DF22C9">
                  <w:rPr>
                    <w:i/>
                    <w:szCs w:val="24"/>
                  </w:rPr>
                  <w:t>Transatlantic</w:t>
                </w:r>
                <w:r w:rsidRPr="00DF22C9">
                  <w:rPr>
                    <w:szCs w:val="24"/>
                  </w:rPr>
                  <w:t xml:space="preserve"> (1930) opera</w:t>
                </w:r>
              </w:p>
              <w:p w:rsidR="00241F5A" w:rsidRPr="00DF22C9" w:rsidRDefault="00241F5A" w:rsidP="00241F5A">
                <w:pPr>
                  <w:rPr>
                    <w:szCs w:val="24"/>
                  </w:rPr>
                </w:pPr>
                <w:r w:rsidRPr="00DF22C9">
                  <w:rPr>
                    <w:i/>
                    <w:szCs w:val="24"/>
                  </w:rPr>
                  <w:t>Helen Retires</w:t>
                </w:r>
                <w:r w:rsidRPr="00DF22C9">
                  <w:rPr>
                    <w:szCs w:val="24"/>
                  </w:rPr>
                  <w:t xml:space="preserve"> (1931) opera</w:t>
                </w:r>
              </w:p>
              <w:p w:rsidR="00241F5A" w:rsidRPr="00DF22C9" w:rsidRDefault="00241F5A" w:rsidP="00241F5A">
                <w:pPr>
                  <w:rPr>
                    <w:szCs w:val="24"/>
                  </w:rPr>
                </w:pPr>
                <w:r w:rsidRPr="00DF22C9">
                  <w:rPr>
                    <w:i/>
                    <w:szCs w:val="24"/>
                  </w:rPr>
                  <w:t xml:space="preserve">Dementia </w:t>
                </w:r>
                <w:r w:rsidRPr="00DF22C9">
                  <w:rPr>
                    <w:szCs w:val="24"/>
                  </w:rPr>
                  <w:t>(1955) film score</w:t>
                </w:r>
              </w:p>
              <w:p w:rsidR="00241F5A" w:rsidRPr="00DF22C9" w:rsidRDefault="00241F5A" w:rsidP="00241F5A">
                <w:pPr>
                  <w:rPr>
                    <w:szCs w:val="24"/>
                  </w:rPr>
                </w:pPr>
                <w:r w:rsidRPr="00DF22C9">
                  <w:rPr>
                    <w:i/>
                    <w:szCs w:val="24"/>
                  </w:rPr>
                  <w:t>In a Lonely Place</w:t>
                </w:r>
                <w:r w:rsidRPr="00DF22C9">
                  <w:rPr>
                    <w:szCs w:val="24"/>
                  </w:rPr>
                  <w:t xml:space="preserve"> (1950) film score</w:t>
                </w:r>
              </w:p>
              <w:p w:rsidR="005C37F7" w:rsidRDefault="00241F5A" w:rsidP="00241F5A">
                <w:pPr>
                  <w:rPr>
                    <w:szCs w:val="24"/>
                  </w:rPr>
                </w:pPr>
                <w:r w:rsidRPr="00DF22C9">
                  <w:rPr>
                    <w:i/>
                    <w:szCs w:val="24"/>
                  </w:rPr>
                  <w:t>Knock on Any Door</w:t>
                </w:r>
                <w:r w:rsidRPr="00DF22C9">
                  <w:rPr>
                    <w:szCs w:val="24"/>
                  </w:rPr>
                  <w:t xml:space="preserve"> (1949)</w:t>
                </w:r>
                <w:r>
                  <w:rPr>
                    <w:szCs w:val="24"/>
                  </w:rPr>
                  <w:t xml:space="preserve"> film score</w:t>
                </w:r>
              </w:p>
              <w:p w:rsidR="005C37F7" w:rsidRDefault="005C37F7" w:rsidP="00241F5A">
                <w:pPr>
                  <w:rPr>
                    <w:szCs w:val="24"/>
                  </w:rPr>
                </w:pPr>
              </w:p>
              <w:p w:rsidR="005C37F7" w:rsidRDefault="005C37F7" w:rsidP="005C37F7">
                <w:pPr>
                  <w:keepNext/>
                  <w:rPr>
                    <w:szCs w:val="24"/>
                  </w:rPr>
                </w:pPr>
                <w:r>
                  <w:rPr>
                    <w:szCs w:val="24"/>
                  </w:rPr>
                  <w:t xml:space="preserve">Link: </w:t>
                </w:r>
                <w:r w:rsidRPr="005C37F7">
                  <w:rPr>
                    <w:szCs w:val="24"/>
                  </w:rPr>
                  <w:t>http://www.musicsalesclassical.com/composer/work/25557#</w:t>
                </w:r>
              </w:p>
              <w:p w:rsidR="005C37F7" w:rsidRDefault="005C37F7" w:rsidP="005C37F7">
                <w:pPr>
                  <w:pStyle w:val="Caption"/>
                  <w:rPr>
                    <w:szCs w:val="24"/>
                  </w:rPr>
                </w:pPr>
                <w:r>
                  <w:rPr>
                    <w:szCs w:val="24"/>
                  </w:rPr>
                  <w:fldChar w:fldCharType="begin"/>
                </w:r>
                <w:r>
                  <w:rPr>
                    <w:szCs w:val="24"/>
                  </w:rPr>
                  <w:instrText xml:space="preserve"> SEQ Figure \* ARABIC </w:instrText>
                </w:r>
                <w:r>
                  <w:rPr>
                    <w:szCs w:val="24"/>
                  </w:rPr>
                  <w:fldChar w:fldCharType="separate"/>
                </w:r>
                <w:r>
                  <w:rPr>
                    <w:noProof/>
                    <w:szCs w:val="24"/>
                  </w:rPr>
                  <w:t>1</w:t>
                </w:r>
                <w:r>
                  <w:rPr>
                    <w:szCs w:val="24"/>
                  </w:rPr>
                  <w:fldChar w:fldCharType="end"/>
                </w:r>
                <w:r>
                  <w:t xml:space="preserve"> Ballet </w:t>
                </w:r>
                <w:proofErr w:type="spellStart"/>
                <w:r>
                  <w:t>Mechanique</w:t>
                </w:r>
                <w:proofErr w:type="spellEnd"/>
              </w:p>
              <w:p w:rsidR="005C37F7" w:rsidRDefault="005C37F7" w:rsidP="005C37F7">
                <w:pPr>
                  <w:keepNext/>
                </w:pPr>
                <w:r>
                  <w:rPr>
                    <w:szCs w:val="24"/>
                  </w:rPr>
                  <w:t xml:space="preserve">Link: </w:t>
                </w:r>
                <w:r w:rsidRPr="005C37F7">
                  <w:rPr>
                    <w:szCs w:val="24"/>
                  </w:rPr>
                  <w:t>http://www.otherminds.org/mp3/Valentinewaltz.mp3</w:t>
                </w:r>
              </w:p>
              <w:p w:rsidR="005C37F7" w:rsidRDefault="005C37F7" w:rsidP="005C37F7">
                <w:pPr>
                  <w:pStyle w:val="Caption"/>
                  <w:rPr>
                    <w:szCs w:val="24"/>
                  </w:rPr>
                </w:pPr>
                <w:r>
                  <w:rPr>
                    <w:szCs w:val="24"/>
                  </w:rPr>
                  <w:fldChar w:fldCharType="begin"/>
                </w:r>
                <w:r>
                  <w:rPr>
                    <w:szCs w:val="24"/>
                  </w:rPr>
                  <w:instrText xml:space="preserve"> SEQ Figure \* ARABIC </w:instrText>
                </w:r>
                <w:r>
                  <w:rPr>
                    <w:szCs w:val="24"/>
                  </w:rPr>
                  <w:fldChar w:fldCharType="separate"/>
                </w:r>
                <w:r>
                  <w:rPr>
                    <w:noProof/>
                    <w:szCs w:val="24"/>
                  </w:rPr>
                  <w:t>2</w:t>
                </w:r>
                <w:r>
                  <w:rPr>
                    <w:szCs w:val="24"/>
                  </w:rPr>
                  <w:fldChar w:fldCharType="end"/>
                </w:r>
                <w:r>
                  <w:t xml:space="preserve"> </w:t>
                </w:r>
                <w:r w:rsidRPr="00044604">
                  <w:t>Valentine Waltz #</w:t>
                </w:r>
                <w:proofErr w:type="gramStart"/>
                <w:r w:rsidRPr="00044604">
                  <w:t>2  Rights</w:t>
                </w:r>
                <w:proofErr w:type="gramEnd"/>
                <w:r w:rsidRPr="00044604">
                  <w:t xml:space="preserve"> reserved by the Antheil Estate, Charles </w:t>
                </w:r>
                <w:proofErr w:type="spellStart"/>
                <w:r w:rsidRPr="00044604">
                  <w:t>Amirkhanian</w:t>
                </w:r>
                <w:proofErr w:type="spellEnd"/>
                <w:r w:rsidRPr="00044604">
                  <w:t>, Executor.</w:t>
                </w:r>
              </w:p>
              <w:p w:rsidR="005C37F7" w:rsidRDefault="005C37F7" w:rsidP="00241F5A">
                <w:pPr>
                  <w:rPr>
                    <w:szCs w:val="24"/>
                  </w:rPr>
                </w:pPr>
              </w:p>
              <w:p w:rsidR="003F0D73" w:rsidRPr="00241F5A" w:rsidRDefault="005C37F7" w:rsidP="005C37F7">
                <w:pPr>
                  <w:pStyle w:val="Authornote"/>
                </w:pPr>
                <w:proofErr w:type="spellStart"/>
                <w:r w:rsidRPr="005C37F7">
                  <w:t>Quicktime</w:t>
                </w:r>
                <w:proofErr w:type="spellEnd"/>
                <w:r w:rsidRPr="005C37F7">
                  <w:t xml:space="preserve"> trailers for both the film version of Ballet </w:t>
                </w:r>
                <w:proofErr w:type="spellStart"/>
                <w:r w:rsidRPr="005C37F7">
                  <w:t>Mechanique</w:t>
                </w:r>
                <w:proofErr w:type="spellEnd"/>
                <w:r w:rsidRPr="005C37F7">
                  <w:t xml:space="preserve"> and a performance of the piece at the National Gallery in Washington DC are available on www.antheil.org, but I couldn’t figure out a way to link to them.</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01580147EE5B4638AD74D07B6592C2E5"/>
              </w:placeholder>
            </w:sdtPr>
            <w:sdtEndPr/>
            <w:sdtContent>
              <w:p w:rsidR="005C37F7" w:rsidRDefault="005C37F7" w:rsidP="005C37F7"/>
              <w:p w:rsidR="005C37F7" w:rsidRDefault="005C37F7" w:rsidP="005C37F7">
                <w:sdt>
                  <w:sdtPr>
                    <w:id w:val="611327196"/>
                    <w:citation/>
                  </w:sdtPr>
                  <w:sdtContent>
                    <w:r>
                      <w:fldChar w:fldCharType="begin"/>
                    </w:r>
                    <w:r>
                      <w:rPr>
                        <w:lang w:val="en-US"/>
                      </w:rPr>
                      <w:instrText xml:space="preserve"> CITATION Ant90 \l 1033 </w:instrText>
                    </w:r>
                    <w:r>
                      <w:fldChar w:fldCharType="separate"/>
                    </w:r>
                    <w:r>
                      <w:rPr>
                        <w:noProof/>
                        <w:lang w:val="en-US"/>
                      </w:rPr>
                      <w:t>(Antheil, 1945; 1990)</w:t>
                    </w:r>
                    <w:r>
                      <w:fldChar w:fldCharType="end"/>
                    </w:r>
                  </w:sdtContent>
                </w:sdt>
              </w:p>
              <w:p w:rsidR="005C37F7" w:rsidRDefault="005C37F7" w:rsidP="005C37F7"/>
              <w:p w:rsidR="005C37F7" w:rsidRDefault="005C37F7" w:rsidP="005C37F7">
                <w:sdt>
                  <w:sdtPr>
                    <w:id w:val="-329599899"/>
                    <w:citation/>
                  </w:sdtPr>
                  <w:sdtContent>
                    <w:r>
                      <w:fldChar w:fldCharType="begin"/>
                    </w:r>
                    <w:r>
                      <w:rPr>
                        <w:lang w:val="en-US"/>
                      </w:rPr>
                      <w:instrText xml:space="preserve"> CITATION For87 \l 1033 </w:instrText>
                    </w:r>
                    <w:r>
                      <w:fldChar w:fldCharType="separate"/>
                    </w:r>
                    <w:r>
                      <w:rPr>
                        <w:noProof/>
                        <w:lang w:val="en-US"/>
                      </w:rPr>
                      <w:t>(Ford, 1987)</w:t>
                    </w:r>
                    <w:r>
                      <w:fldChar w:fldCharType="end"/>
                    </w:r>
                  </w:sdtContent>
                </w:sdt>
              </w:p>
              <w:p w:rsidR="005C37F7" w:rsidRDefault="005C37F7" w:rsidP="005C37F7"/>
              <w:p w:rsidR="005C37F7" w:rsidRDefault="005C37F7" w:rsidP="005C37F7">
                <w:sdt>
                  <w:sdtPr>
                    <w:id w:val="523984680"/>
                    <w:citation/>
                  </w:sdtPr>
                  <w:sdtContent>
                    <w:r>
                      <w:fldChar w:fldCharType="begin"/>
                    </w:r>
                    <w:r>
                      <w:rPr>
                        <w:lang w:val="en-US"/>
                      </w:rPr>
                      <w:instrText xml:space="preserve"> CITATION Sch77 \l 1033 </w:instrText>
                    </w:r>
                    <w:r>
                      <w:fldChar w:fldCharType="separate"/>
                    </w:r>
                    <w:r>
                      <w:rPr>
                        <w:noProof/>
                        <w:lang w:val="en-US"/>
                      </w:rPr>
                      <w:t>(Schafer, 1977)</w:t>
                    </w:r>
                    <w:r>
                      <w:fldChar w:fldCharType="end"/>
                    </w:r>
                  </w:sdtContent>
                </w:sdt>
              </w:p>
              <w:p w:rsidR="005C37F7" w:rsidRDefault="005C37F7" w:rsidP="005C37F7"/>
              <w:p w:rsidR="005C37F7" w:rsidRDefault="005C37F7" w:rsidP="005C37F7">
                <w:sdt>
                  <w:sdtPr>
                    <w:id w:val="-2130082975"/>
                    <w:citation/>
                  </w:sdtPr>
                  <w:sdtContent>
                    <w:r>
                      <w:fldChar w:fldCharType="begin"/>
                    </w:r>
                    <w:r>
                      <w:rPr>
                        <w:lang w:val="en-US"/>
                      </w:rPr>
                      <w:instrText xml:space="preserve"> CITATION Tem06 \l 1033 </w:instrText>
                    </w:r>
                    <w:r>
                      <w:fldChar w:fldCharType="separate"/>
                    </w:r>
                    <w:r>
                      <w:rPr>
                        <w:noProof/>
                        <w:lang w:val="en-US"/>
                      </w:rPr>
                      <w:t>(Templeton, 2006)</w:t>
                    </w:r>
                    <w:r>
                      <w:fldChar w:fldCharType="end"/>
                    </w:r>
                  </w:sdtContent>
                </w:sdt>
              </w:p>
              <w:p w:rsidR="005C37F7" w:rsidRDefault="005C37F7" w:rsidP="005C37F7"/>
              <w:p w:rsidR="005C37F7" w:rsidRDefault="005C37F7" w:rsidP="005C37F7">
                <w:sdt>
                  <w:sdtPr>
                    <w:id w:val="-1961720648"/>
                    <w:citation/>
                  </w:sdtPr>
                  <w:sdtContent>
                    <w:r>
                      <w:fldChar w:fldCharType="begin"/>
                    </w:r>
                    <w:r>
                      <w:rPr>
                        <w:lang w:val="en-US"/>
                      </w:rPr>
                      <w:instrText xml:space="preserve"> CITATION Whi83 \l 1033 </w:instrText>
                    </w:r>
                    <w:r>
                      <w:fldChar w:fldCharType="separate"/>
                    </w:r>
                    <w:r>
                      <w:rPr>
                        <w:noProof/>
                        <w:lang w:val="en-US"/>
                      </w:rPr>
                      <w:t>(Whitesitt, 1983)</w:t>
                    </w:r>
                    <w:r>
                      <w:fldChar w:fldCharType="end"/>
                    </w:r>
                  </w:sdtContent>
                </w:sdt>
              </w:p>
              <w:p w:rsidR="005C37F7" w:rsidRDefault="005C37F7" w:rsidP="005C37F7"/>
              <w:p w:rsidR="005C37F7" w:rsidRDefault="005C37F7" w:rsidP="005C37F7"/>
              <w:p w:rsidR="003235A7" w:rsidRDefault="000A2E78" w:rsidP="005C37F7"/>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2E78" w:rsidRDefault="000A2E78" w:rsidP="007A0D55">
      <w:pPr>
        <w:spacing w:after="0" w:line="240" w:lineRule="auto"/>
      </w:pPr>
      <w:r>
        <w:separator/>
      </w:r>
    </w:p>
  </w:endnote>
  <w:endnote w:type="continuationSeparator" w:id="0">
    <w:p w:rsidR="000A2E78" w:rsidRDefault="000A2E7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2E78" w:rsidRDefault="000A2E78" w:rsidP="007A0D55">
      <w:pPr>
        <w:spacing w:after="0" w:line="240" w:lineRule="auto"/>
      </w:pPr>
      <w:r>
        <w:separator/>
      </w:r>
    </w:p>
  </w:footnote>
  <w:footnote w:type="continuationSeparator" w:id="0">
    <w:p w:rsidR="000A2E78" w:rsidRDefault="000A2E78"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F5A"/>
    <w:rsid w:val="00032559"/>
    <w:rsid w:val="00052040"/>
    <w:rsid w:val="000A2E7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1F5A"/>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C37F7"/>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85213"/>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41F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F5A"/>
    <w:rPr>
      <w:rFonts w:ascii="Tahoma" w:hAnsi="Tahoma" w:cs="Tahoma"/>
      <w:sz w:val="16"/>
      <w:szCs w:val="16"/>
    </w:rPr>
  </w:style>
  <w:style w:type="paragraph" w:customStyle="1" w:styleId="Normal1">
    <w:name w:val="Normal1"/>
    <w:rsid w:val="00241F5A"/>
    <w:pPr>
      <w:widowControl w:val="0"/>
      <w:spacing w:after="0" w:line="276" w:lineRule="auto"/>
      <w:contextualSpacing/>
    </w:pPr>
    <w:rPr>
      <w:rFonts w:ascii="Arial" w:eastAsia="Arial" w:hAnsi="Arial" w:cs="Arial"/>
      <w:color w:val="000000"/>
      <w:szCs w:val="20"/>
      <w:lang w:val="en-US"/>
    </w:rPr>
  </w:style>
  <w:style w:type="paragraph" w:styleId="Caption">
    <w:name w:val="caption"/>
    <w:basedOn w:val="Normal"/>
    <w:next w:val="Normal"/>
    <w:uiPriority w:val="35"/>
    <w:semiHidden/>
    <w:qFormat/>
    <w:rsid w:val="005C37F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41F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F5A"/>
    <w:rPr>
      <w:rFonts w:ascii="Tahoma" w:hAnsi="Tahoma" w:cs="Tahoma"/>
      <w:sz w:val="16"/>
      <w:szCs w:val="16"/>
    </w:rPr>
  </w:style>
  <w:style w:type="paragraph" w:customStyle="1" w:styleId="Normal1">
    <w:name w:val="Normal1"/>
    <w:rsid w:val="00241F5A"/>
    <w:pPr>
      <w:widowControl w:val="0"/>
      <w:spacing w:after="0" w:line="276" w:lineRule="auto"/>
      <w:contextualSpacing/>
    </w:pPr>
    <w:rPr>
      <w:rFonts w:ascii="Arial" w:eastAsia="Arial" w:hAnsi="Arial" w:cs="Arial"/>
      <w:color w:val="000000"/>
      <w:szCs w:val="20"/>
      <w:lang w:val="en-US"/>
    </w:rPr>
  </w:style>
  <w:style w:type="paragraph" w:styleId="Caption">
    <w:name w:val="caption"/>
    <w:basedOn w:val="Normal"/>
    <w:next w:val="Normal"/>
    <w:uiPriority w:val="35"/>
    <w:semiHidden/>
    <w:qFormat/>
    <w:rsid w:val="005C37F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467685D71B24692B88DCB87C061FAA1"/>
        <w:category>
          <w:name w:val="General"/>
          <w:gallery w:val="placeholder"/>
        </w:category>
        <w:types>
          <w:type w:val="bbPlcHdr"/>
        </w:types>
        <w:behaviors>
          <w:behavior w:val="content"/>
        </w:behaviors>
        <w:guid w:val="{7BEBB9BF-5A75-4C71-9330-F2C60B049CC6}"/>
      </w:docPartPr>
      <w:docPartBody>
        <w:p w:rsidR="00000000" w:rsidRDefault="0075213C">
          <w:pPr>
            <w:pStyle w:val="2467685D71B24692B88DCB87C061FAA1"/>
          </w:pPr>
          <w:r w:rsidRPr="00CC586D">
            <w:rPr>
              <w:rStyle w:val="PlaceholderText"/>
              <w:b/>
              <w:color w:val="FFFFFF" w:themeColor="background1"/>
            </w:rPr>
            <w:t>[Salutation]</w:t>
          </w:r>
        </w:p>
      </w:docPartBody>
    </w:docPart>
    <w:docPart>
      <w:docPartPr>
        <w:name w:val="56D914F4A567420C974A3710DB24F623"/>
        <w:category>
          <w:name w:val="General"/>
          <w:gallery w:val="placeholder"/>
        </w:category>
        <w:types>
          <w:type w:val="bbPlcHdr"/>
        </w:types>
        <w:behaviors>
          <w:behavior w:val="content"/>
        </w:behaviors>
        <w:guid w:val="{76109B9E-FAF0-44BD-9FBC-AE178754BC2D}"/>
      </w:docPartPr>
      <w:docPartBody>
        <w:p w:rsidR="00000000" w:rsidRDefault="0075213C">
          <w:pPr>
            <w:pStyle w:val="56D914F4A567420C974A3710DB24F623"/>
          </w:pPr>
          <w:r>
            <w:rPr>
              <w:rStyle w:val="PlaceholderText"/>
            </w:rPr>
            <w:t>[First name]</w:t>
          </w:r>
        </w:p>
      </w:docPartBody>
    </w:docPart>
    <w:docPart>
      <w:docPartPr>
        <w:name w:val="944E8DDB1F4B4929966FFB2B4FC07A5E"/>
        <w:category>
          <w:name w:val="General"/>
          <w:gallery w:val="placeholder"/>
        </w:category>
        <w:types>
          <w:type w:val="bbPlcHdr"/>
        </w:types>
        <w:behaviors>
          <w:behavior w:val="content"/>
        </w:behaviors>
        <w:guid w:val="{C03EAF61-E323-46DB-B5DB-496A3E9BCAE1}"/>
      </w:docPartPr>
      <w:docPartBody>
        <w:p w:rsidR="00000000" w:rsidRDefault="0075213C">
          <w:pPr>
            <w:pStyle w:val="944E8DDB1F4B4929966FFB2B4FC07A5E"/>
          </w:pPr>
          <w:r>
            <w:rPr>
              <w:rStyle w:val="PlaceholderText"/>
            </w:rPr>
            <w:t>[Middle name]</w:t>
          </w:r>
        </w:p>
      </w:docPartBody>
    </w:docPart>
    <w:docPart>
      <w:docPartPr>
        <w:name w:val="532D40A9F06C4B729674AA3C14B7718F"/>
        <w:category>
          <w:name w:val="General"/>
          <w:gallery w:val="placeholder"/>
        </w:category>
        <w:types>
          <w:type w:val="bbPlcHdr"/>
        </w:types>
        <w:behaviors>
          <w:behavior w:val="content"/>
        </w:behaviors>
        <w:guid w:val="{5CCA4C60-B0BC-481A-BD6F-F78A79705408}"/>
      </w:docPartPr>
      <w:docPartBody>
        <w:p w:rsidR="00000000" w:rsidRDefault="0075213C">
          <w:pPr>
            <w:pStyle w:val="532D40A9F06C4B729674AA3C14B7718F"/>
          </w:pPr>
          <w:r>
            <w:rPr>
              <w:rStyle w:val="PlaceholderText"/>
            </w:rPr>
            <w:t>[Last</w:t>
          </w:r>
          <w:r>
            <w:rPr>
              <w:rStyle w:val="PlaceholderText"/>
            </w:rPr>
            <w:t xml:space="preserve"> name]</w:t>
          </w:r>
        </w:p>
      </w:docPartBody>
    </w:docPart>
    <w:docPart>
      <w:docPartPr>
        <w:name w:val="80433A6B0ECA43C1BD8AE172876C648E"/>
        <w:category>
          <w:name w:val="General"/>
          <w:gallery w:val="placeholder"/>
        </w:category>
        <w:types>
          <w:type w:val="bbPlcHdr"/>
        </w:types>
        <w:behaviors>
          <w:behavior w:val="content"/>
        </w:behaviors>
        <w:guid w:val="{3A62D667-AA47-4A88-BABC-F5F2FC97720C}"/>
      </w:docPartPr>
      <w:docPartBody>
        <w:p w:rsidR="00000000" w:rsidRDefault="0075213C">
          <w:pPr>
            <w:pStyle w:val="80433A6B0ECA43C1BD8AE172876C648E"/>
          </w:pPr>
          <w:r>
            <w:rPr>
              <w:rStyle w:val="PlaceholderText"/>
            </w:rPr>
            <w:t>[Enter your biography]</w:t>
          </w:r>
        </w:p>
      </w:docPartBody>
    </w:docPart>
    <w:docPart>
      <w:docPartPr>
        <w:name w:val="018C0E480D0140A0AFEC060970B6B5B6"/>
        <w:category>
          <w:name w:val="General"/>
          <w:gallery w:val="placeholder"/>
        </w:category>
        <w:types>
          <w:type w:val="bbPlcHdr"/>
        </w:types>
        <w:behaviors>
          <w:behavior w:val="content"/>
        </w:behaviors>
        <w:guid w:val="{3283E4B6-05F6-44F7-AAAC-7B74A779D987}"/>
      </w:docPartPr>
      <w:docPartBody>
        <w:p w:rsidR="00000000" w:rsidRDefault="0075213C">
          <w:pPr>
            <w:pStyle w:val="018C0E480D0140A0AFEC060970B6B5B6"/>
          </w:pPr>
          <w:r>
            <w:rPr>
              <w:rStyle w:val="PlaceholderText"/>
            </w:rPr>
            <w:t>[Enter the institution with which you are affiliated]</w:t>
          </w:r>
        </w:p>
      </w:docPartBody>
    </w:docPart>
    <w:docPart>
      <w:docPartPr>
        <w:name w:val="006224A8162148C0947E72700E5B8FC6"/>
        <w:category>
          <w:name w:val="General"/>
          <w:gallery w:val="placeholder"/>
        </w:category>
        <w:types>
          <w:type w:val="bbPlcHdr"/>
        </w:types>
        <w:behaviors>
          <w:behavior w:val="content"/>
        </w:behaviors>
        <w:guid w:val="{07F2AE3C-FC3B-410E-9438-1E40C11A1000}"/>
      </w:docPartPr>
      <w:docPartBody>
        <w:p w:rsidR="00000000" w:rsidRDefault="0075213C">
          <w:pPr>
            <w:pStyle w:val="006224A8162148C0947E72700E5B8FC6"/>
          </w:pPr>
          <w:r w:rsidRPr="00EF74F7">
            <w:rPr>
              <w:b/>
              <w:color w:val="808080" w:themeColor="background1" w:themeShade="80"/>
            </w:rPr>
            <w:t>[Enter the headword for your article]</w:t>
          </w:r>
        </w:p>
      </w:docPartBody>
    </w:docPart>
    <w:docPart>
      <w:docPartPr>
        <w:name w:val="45146B71AFBF42BAB3E65ACB36AF971A"/>
        <w:category>
          <w:name w:val="General"/>
          <w:gallery w:val="placeholder"/>
        </w:category>
        <w:types>
          <w:type w:val="bbPlcHdr"/>
        </w:types>
        <w:behaviors>
          <w:behavior w:val="content"/>
        </w:behaviors>
        <w:guid w:val="{443B5074-12F2-47E2-8992-6B7919470BA2}"/>
      </w:docPartPr>
      <w:docPartBody>
        <w:p w:rsidR="00000000" w:rsidRDefault="0075213C">
          <w:pPr>
            <w:pStyle w:val="45146B71AFBF42BAB3E65ACB36AF971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36F8C328F1F4FA4B32F76B16C90DE22"/>
        <w:category>
          <w:name w:val="General"/>
          <w:gallery w:val="placeholder"/>
        </w:category>
        <w:types>
          <w:type w:val="bbPlcHdr"/>
        </w:types>
        <w:behaviors>
          <w:behavior w:val="content"/>
        </w:behaviors>
        <w:guid w:val="{AC50CD1F-F84D-4711-9BA1-6FD3BB1A22E3}"/>
      </w:docPartPr>
      <w:docPartBody>
        <w:p w:rsidR="00000000" w:rsidRDefault="0075213C">
          <w:pPr>
            <w:pStyle w:val="F36F8C328F1F4FA4B32F76B16C90DE2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C6FA2742E3444149D001224E22C5DF2"/>
        <w:category>
          <w:name w:val="General"/>
          <w:gallery w:val="placeholder"/>
        </w:category>
        <w:types>
          <w:type w:val="bbPlcHdr"/>
        </w:types>
        <w:behaviors>
          <w:behavior w:val="content"/>
        </w:behaviors>
        <w:guid w:val="{A0E38546-BB1E-4033-B781-758BDA280764}"/>
      </w:docPartPr>
      <w:docPartBody>
        <w:p w:rsidR="00000000" w:rsidRDefault="0075213C">
          <w:pPr>
            <w:pStyle w:val="2C6FA2742E3444149D001224E22C5DF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1580147EE5B4638AD74D07B6592C2E5"/>
        <w:category>
          <w:name w:val="General"/>
          <w:gallery w:val="placeholder"/>
        </w:category>
        <w:types>
          <w:type w:val="bbPlcHdr"/>
        </w:types>
        <w:behaviors>
          <w:behavior w:val="content"/>
        </w:behaviors>
        <w:guid w:val="{7CE944FC-4F4A-4DBD-BF89-1535DF2F2E5F}"/>
      </w:docPartPr>
      <w:docPartBody>
        <w:p w:rsidR="00000000" w:rsidRDefault="0075213C">
          <w:pPr>
            <w:pStyle w:val="01580147EE5B4638AD74D07B6592C2E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13C"/>
    <w:rsid w:val="007521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467685D71B24692B88DCB87C061FAA1">
    <w:name w:val="2467685D71B24692B88DCB87C061FAA1"/>
  </w:style>
  <w:style w:type="paragraph" w:customStyle="1" w:styleId="56D914F4A567420C974A3710DB24F623">
    <w:name w:val="56D914F4A567420C974A3710DB24F623"/>
  </w:style>
  <w:style w:type="paragraph" w:customStyle="1" w:styleId="944E8DDB1F4B4929966FFB2B4FC07A5E">
    <w:name w:val="944E8DDB1F4B4929966FFB2B4FC07A5E"/>
  </w:style>
  <w:style w:type="paragraph" w:customStyle="1" w:styleId="532D40A9F06C4B729674AA3C14B7718F">
    <w:name w:val="532D40A9F06C4B729674AA3C14B7718F"/>
  </w:style>
  <w:style w:type="paragraph" w:customStyle="1" w:styleId="80433A6B0ECA43C1BD8AE172876C648E">
    <w:name w:val="80433A6B0ECA43C1BD8AE172876C648E"/>
  </w:style>
  <w:style w:type="paragraph" w:customStyle="1" w:styleId="018C0E480D0140A0AFEC060970B6B5B6">
    <w:name w:val="018C0E480D0140A0AFEC060970B6B5B6"/>
  </w:style>
  <w:style w:type="paragraph" w:customStyle="1" w:styleId="006224A8162148C0947E72700E5B8FC6">
    <w:name w:val="006224A8162148C0947E72700E5B8FC6"/>
  </w:style>
  <w:style w:type="paragraph" w:customStyle="1" w:styleId="45146B71AFBF42BAB3E65ACB36AF971A">
    <w:name w:val="45146B71AFBF42BAB3E65ACB36AF971A"/>
  </w:style>
  <w:style w:type="paragraph" w:customStyle="1" w:styleId="F36F8C328F1F4FA4B32F76B16C90DE22">
    <w:name w:val="F36F8C328F1F4FA4B32F76B16C90DE22"/>
  </w:style>
  <w:style w:type="paragraph" w:customStyle="1" w:styleId="2C6FA2742E3444149D001224E22C5DF2">
    <w:name w:val="2C6FA2742E3444149D001224E22C5DF2"/>
  </w:style>
  <w:style w:type="paragraph" w:customStyle="1" w:styleId="01580147EE5B4638AD74D07B6592C2E5">
    <w:name w:val="01580147EE5B4638AD74D07B6592C2E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467685D71B24692B88DCB87C061FAA1">
    <w:name w:val="2467685D71B24692B88DCB87C061FAA1"/>
  </w:style>
  <w:style w:type="paragraph" w:customStyle="1" w:styleId="56D914F4A567420C974A3710DB24F623">
    <w:name w:val="56D914F4A567420C974A3710DB24F623"/>
  </w:style>
  <w:style w:type="paragraph" w:customStyle="1" w:styleId="944E8DDB1F4B4929966FFB2B4FC07A5E">
    <w:name w:val="944E8DDB1F4B4929966FFB2B4FC07A5E"/>
  </w:style>
  <w:style w:type="paragraph" w:customStyle="1" w:styleId="532D40A9F06C4B729674AA3C14B7718F">
    <w:name w:val="532D40A9F06C4B729674AA3C14B7718F"/>
  </w:style>
  <w:style w:type="paragraph" w:customStyle="1" w:styleId="80433A6B0ECA43C1BD8AE172876C648E">
    <w:name w:val="80433A6B0ECA43C1BD8AE172876C648E"/>
  </w:style>
  <w:style w:type="paragraph" w:customStyle="1" w:styleId="018C0E480D0140A0AFEC060970B6B5B6">
    <w:name w:val="018C0E480D0140A0AFEC060970B6B5B6"/>
  </w:style>
  <w:style w:type="paragraph" w:customStyle="1" w:styleId="006224A8162148C0947E72700E5B8FC6">
    <w:name w:val="006224A8162148C0947E72700E5B8FC6"/>
  </w:style>
  <w:style w:type="paragraph" w:customStyle="1" w:styleId="45146B71AFBF42BAB3E65ACB36AF971A">
    <w:name w:val="45146B71AFBF42BAB3E65ACB36AF971A"/>
  </w:style>
  <w:style w:type="paragraph" w:customStyle="1" w:styleId="F36F8C328F1F4FA4B32F76B16C90DE22">
    <w:name w:val="F36F8C328F1F4FA4B32F76B16C90DE22"/>
  </w:style>
  <w:style w:type="paragraph" w:customStyle="1" w:styleId="2C6FA2742E3444149D001224E22C5DF2">
    <w:name w:val="2C6FA2742E3444149D001224E22C5DF2"/>
  </w:style>
  <w:style w:type="paragraph" w:customStyle="1" w:styleId="01580147EE5B4638AD74D07B6592C2E5">
    <w:name w:val="01580147EE5B4638AD74D07B6592C2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Ant90</b:Tag>
    <b:SourceType>Book</b:SourceType>
    <b:Guid>{8AEE9FF0-90D2-459C-8A44-C5AB669FCD8D}</b:Guid>
    <b:Author>
      <b:Author>
        <b:NameList>
          <b:Person>
            <b:Last>Antheil</b:Last>
            <b:First>George</b:First>
          </b:Person>
        </b:NameList>
      </b:Author>
    </b:Author>
    <b:Title>Bad Boy of Music</b:Title>
    <b:Year>1945; 1990</b:Year>
    <b:City>New York</b:City>
    <b:Publisher>Doubleday, Duran and Company; Reprinted by Samuel French</b:Publisher>
    <b:Comments>Antheil’s colorful and entertaining autobiography. Readers should be aware that Antheil can be prone to exaggeration and hyperbole, and he’s unreliable with regard to specific times and dates.</b:Comments>
    <b:RefOrder>1</b:RefOrder>
  </b:Source>
  <b:Source>
    <b:Tag>For87</b:Tag>
    <b:SourceType>Book</b:SourceType>
    <b:Guid>{EDF93CBD-1C21-4B5E-860D-77116E8143FF}</b:Guid>
    <b:Author>
      <b:Author>
        <b:NameList>
          <b:Person>
            <b:Last>Ford</b:Last>
            <b:First>Hugh</b:First>
          </b:Person>
        </b:NameList>
      </b:Author>
    </b:Author>
    <b:Title>Four Lives in Paris</b:Title>
    <b:Year>1987</b:Year>
    <b:City>San Francisco</b:City>
    <b:Publisher>North Point Press</b:Publisher>
    <b:Comments>Biographies of four American expatriates who lived in Paris in the 1920s and 30s. In addition to Antheil, the book features editor Margaret Anderson, writer Kay Boyle, and critic Harold Stearns.</b:Comments>
    <b:RefOrder>2</b:RefOrder>
  </b:Source>
  <b:Source>
    <b:Tag>Sch77</b:Tag>
    <b:SourceType>Book</b:SourceType>
    <b:Guid>{E22F0D6D-5334-472F-BDDD-4D72A4FDAD02}</b:Guid>
    <b:Author>
      <b:Author>
        <b:NameList>
          <b:Person>
            <b:Last>Schafer</b:Last>
            <b:First>R.</b:First>
            <b:Middle>Murray</b:Middle>
          </b:Person>
        </b:NameList>
      </b:Author>
    </b:Author>
    <b:Title>Ezra Pound and Music: The Complete Criticism</b:Title>
    <b:Year>1977</b:Year>
    <b:City>New York</b:City>
    <b:Publisher>New Directions</b:Publisher>
    <b:Comments>A composer himself, Schafer not only provides all of Pound’s writings on music in a single place but also provides helpful commentary.</b:Comments>
    <b:RefOrder>3</b:RefOrder>
  </b:Source>
  <b:Source>
    <b:Tag>Tem06</b:Tag>
    <b:SourceType>BookSection</b:SourceType>
    <b:Guid>{445D88FA-75DA-4F8A-A323-2E92EFC801FD}</b:Guid>
    <b:Author>
      <b:Author>
        <b:NameList>
          <b:Person>
            <b:Last>Templeton</b:Last>
            <b:First>Erin</b:First>
            <b:Middle>E.</b:Middle>
          </b:Person>
        </b:NameList>
      </b:Author>
      <b:Editor>
        <b:NameList>
          <b:Person>
            <b:Last>McParland</b:Last>
            <b:First>Robert</b:First>
          </b:Person>
        </b:NameList>
      </b:Editor>
    </b:Author>
    <b:Title>“Dear EzzROAR,” “Dear Anthill”: Ezra Pound, George Antheil and the Complications of Patronage</b:Title>
    <b:Year>2006</b:Year>
    <b:City>New York</b:City>
    <b:Publisher>Cambridge Scholars Press</b:Publisher>
    <b:JournalName>Music and Literary Modernism—Critical Essays and Comparative Studies</b:JournalName>
    <b:Pages>66-86</b:Pages>
    <b:BookTitle>Music and Literary Modernism—Critical Essays and Comparative Studies</b:BookTitle>
    <b:Comments>This article uncovers the way that Ezra Pound and George Antheil worked together in Paris in the 1920s to their mutual benefit: Antheil helped Pound learn musicianship while Pound promoted Antheil’s music.</b:Comments>
    <b:RefOrder>4</b:RefOrder>
  </b:Source>
  <b:Source>
    <b:Tag>Whi83</b:Tag>
    <b:SourceType>Book</b:SourceType>
    <b:Guid>{BBB4DD6B-C2AD-43E5-AB31-2B20DDB44C57}</b:Guid>
    <b:Author>
      <b:Author>
        <b:NameList>
          <b:Person>
            <b:Last>Whitesitt</b:Last>
            <b:First>Linda</b:First>
          </b:Person>
        </b:NameList>
      </b:Author>
    </b:Author>
    <b:Title>The Life and Music of George Antheil, 1900-1959</b:Title>
    <b:Year>1983</b:Year>
    <b:Publisher>University of Michigan Press</b:Publisher>
    <b:Comments>The definitive scholarly monograph on Antheil’s life and work with selections from Antheil’s personal correspondence, and a complete catalog of Antheil’s work.</b:Comments>
    <b:RefOrder>5</b:RefOrder>
  </b:Source>
</b:Sources>
</file>

<file path=customXml/itemProps1.xml><?xml version="1.0" encoding="utf-8"?>
<ds:datastoreItem xmlns:ds="http://schemas.openxmlformats.org/officeDocument/2006/customXml" ds:itemID="{1D211EDA-82D6-42D3-BD50-84DA11E6A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backup.dotx</Template>
  <TotalTime>13</TotalTime>
  <Pages>3</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2015-02-13T03:02:00Z</dcterms:created>
  <dcterms:modified xsi:type="dcterms:W3CDTF">2015-02-13T03:17:00Z</dcterms:modified>
</cp:coreProperties>
</file>