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rsidR="00B574C9" w:rsidRDefault="00CE3195" w:rsidP="00922950">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rsidR="00B574C9" w:rsidRDefault="00CE3195" w:rsidP="00922950">
                <w:proofErr w:type="spellStart"/>
                <w:r w:rsidRPr="00CE3195">
                  <w:rPr>
                    <w:lang w:val="en-US"/>
                  </w:rPr>
                  <w:t>Jaaware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5BA9E10B16049B5BB3FE1D3FB00D19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PlaceholderText"/>
              <w:rFonts w:ascii="Arial" w:hAnsi="Arial" w:cs="Arial"/>
              <w:color w:val="222222"/>
            </w:rPr>
            <w:alias w:val="Article headword"/>
            <w:tag w:val="articleHeadword"/>
            <w:id w:val="-361440020"/>
            <w:placeholder>
              <w:docPart w:val="4017E0A384F64AC4A068954EF4C16C56"/>
            </w:placeholder>
            <w:text/>
          </w:sdtPr>
          <w:sdtEndPr>
            <w:rPr>
              <w:rStyle w:val="PlaceholderText"/>
            </w:rPr>
          </w:sdtEndPr>
          <w:sdtContent>
            <w:tc>
              <w:tcPr>
                <w:tcW w:w="9016" w:type="dxa"/>
                <w:tcMar>
                  <w:top w:w="113" w:type="dxa"/>
                  <w:bottom w:w="113" w:type="dxa"/>
                </w:tcMar>
              </w:tcPr>
              <w:p w:rsidR="003F0D73" w:rsidRPr="00FB589A" w:rsidRDefault="00CE3195" w:rsidP="003F0D73">
                <w:pPr>
                  <w:rPr>
                    <w:b/>
                  </w:rPr>
                </w:pPr>
                <w:proofErr w:type="spellStart"/>
                <w:r w:rsidRPr="00CE3195">
                  <w:rPr>
                    <w:rStyle w:val="PlaceholderText"/>
                    <w:rFonts w:ascii="Arial" w:hAnsi="Arial" w:cs="Arial"/>
                    <w:color w:val="222222"/>
                  </w:rPr>
                  <w:t>Bagul</w:t>
                </w:r>
                <w:proofErr w:type="spellEnd"/>
                <w:r w:rsidRPr="00CE3195">
                  <w:rPr>
                    <w:rStyle w:val="PlaceholderText"/>
                    <w:rFonts w:ascii="Arial" w:hAnsi="Arial" w:cs="Arial"/>
                    <w:color w:val="222222"/>
                  </w:rPr>
                  <w:t xml:space="preserve">, </w:t>
                </w:r>
                <w:proofErr w:type="spellStart"/>
                <w:r w:rsidRPr="00CE3195">
                  <w:rPr>
                    <w:rStyle w:val="PlaceholderText"/>
                    <w:rFonts w:ascii="Arial" w:hAnsi="Arial" w:cs="Arial"/>
                    <w:color w:val="222222"/>
                  </w:rPr>
                  <w:t>Baburao</w:t>
                </w:r>
                <w:proofErr w:type="spellEnd"/>
                <w:r w:rsidRPr="00CE3195">
                  <w:rPr>
                    <w:rStyle w:val="PlaceholderText"/>
                    <w:rFonts w:ascii="Arial" w:hAnsi="Arial" w:cs="Arial"/>
                    <w:color w:val="222222"/>
                  </w:rPr>
                  <w:t xml:space="preserve"> (1930*–2008)</w:t>
                </w:r>
              </w:p>
            </w:tc>
          </w:sdtContent>
        </w:sdt>
      </w:tr>
      <w:tr w:rsidR="00464699"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rsidR="00CE3195" w:rsidRDefault="00CE3195" w:rsidP="00CE3195">
                <w:pPr>
                  <w:spacing w:after="120" w:line="360" w:lineRule="auto"/>
                  <w:rPr>
                    <w:lang w:val="en-US"/>
                  </w:rPr>
                </w:pPr>
                <w:r>
                  <w:rPr>
                    <w:lang w:val="en-US"/>
                  </w:rPr>
                  <w:t>A major inspiration to a younger generation of Marathi “</w:t>
                </w:r>
                <w:proofErr w:type="spellStart"/>
                <w:r>
                  <w:rPr>
                    <w:lang w:val="en-US"/>
                  </w:rPr>
                  <w:t>dalit</w:t>
                </w:r>
                <w:proofErr w:type="spellEnd"/>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“Dalit” literature (literature of the oppressed) after 1972. </w:t>
                </w:r>
                <w:proofErr w:type="spellStart"/>
                <w:r>
                  <w:rPr>
                    <w:lang w:val="en-US"/>
                  </w:rPr>
                  <w:t>Bagul</w:t>
                </w:r>
                <w:proofErr w:type="spellEnd"/>
                <w:r>
                  <w:rPr>
                    <w:lang w:val="en-US"/>
                  </w:rPr>
                  <w:t xml:space="preserve"> was also actively involved in the discussions that would later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Pr>
                    <w:lang w:val="en-US"/>
                  </w:rPr>
                  <w:t>, 1969).  Most of his stories explore “lumpen” characters and the ethical implications of their actions as they fight to survive the unrelenting misery and poverty of urban modernity. They are characters who survive (or not) in limit situations of hunger and criminality, in dwellings without any civic amenities, and often exploit or violate other characters in similar circumstances.</w:t>
                </w:r>
              </w:p>
              <w:p w:rsidR="00E85A05" w:rsidRDefault="00E85A05" w:rsidP="00E85A05"/>
            </w:tc>
          </w:sdtContent>
        </w:sdt>
      </w:tr>
      <w:tr w:rsidR="003F0D73" w:rsidTr="003F0D73">
        <w:sdt>
          <w:sdtPr>
            <w:alias w:val="Article text"/>
            <w:tag w:val="articleText"/>
            <w:id w:val="634067588"/>
            <w:placeholder>
              <w:docPart w:val="556C58FBDBEE46EBA1C0B0DE2800F572"/>
            </w:placeholder>
          </w:sdtPr>
          <w:sdtEndPr/>
          <w:sdtContent>
            <w:tc>
              <w:tcPr>
                <w:tcW w:w="9016" w:type="dxa"/>
                <w:tcMar>
                  <w:top w:w="113" w:type="dxa"/>
                  <w:bottom w:w="113" w:type="dxa"/>
                </w:tcMar>
              </w:tcPr>
              <w:p w:rsidR="00CE3195" w:rsidRDefault="00CE3195" w:rsidP="00CE3195">
                <w:pPr>
                  <w:spacing w:after="120" w:line="360" w:lineRule="auto"/>
                  <w:rPr>
                    <w:lang w:val="en-US"/>
                  </w:rPr>
                </w:pPr>
                <w:r>
                  <w:rPr>
                    <w:lang w:val="en-US"/>
                  </w:rPr>
                  <w:t>A major inspiration to a younger generation of Marathi “</w:t>
                </w:r>
                <w:r w:rsidR="002540DD">
                  <w:rPr>
                    <w:lang w:val="en-US"/>
                  </w:rPr>
                  <w:t>D</w:t>
                </w:r>
                <w:r>
                  <w:rPr>
                    <w:lang w:val="en-US"/>
                  </w:rPr>
                  <w:t xml:space="preserve">alit”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“Dalit” literature (literature of the oppressed) after 1972. </w:t>
                </w:r>
                <w:proofErr w:type="spellStart"/>
                <w:r>
                  <w:rPr>
                    <w:lang w:val="en-US"/>
                  </w:rPr>
                  <w:t>Bagul</w:t>
                </w:r>
                <w:proofErr w:type="spellEnd"/>
                <w:r>
                  <w:rPr>
                    <w:lang w:val="en-US"/>
                  </w:rPr>
                  <w:t xml:space="preserve"> was also actively involved in the discussions that would later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Pr>
                    <w:lang w:val="en-US"/>
                  </w:rPr>
                  <w:t xml:space="preserve">, 1969).  Most of his stories explore “lumpen” characters and the ethical implications of their actions as they fight to survive the unrelenting misery and poverty of urban modernity. They are characters who survive (or not) in limit situations of hunger and criminality, in dwellings without any civic amenities, and often exploit or </w:t>
                </w:r>
                <w:r>
                  <w:rPr>
                    <w:lang w:val="en-US"/>
                  </w:rPr>
                  <w:lastRenderedPageBreak/>
                  <w:t>violate other characters in similar circumstances.</w:t>
                </w:r>
              </w:p>
              <w:p w:rsidR="00CE3195" w:rsidRDefault="00CE3195" w:rsidP="00CE3195">
                <w:pPr>
                  <w:spacing w:after="120" w:line="360" w:lineRule="auto"/>
                  <w:rPr>
                    <w:lang w:val="en-US"/>
                  </w:rPr>
                </w:pPr>
                <w:r>
                  <w:rPr>
                    <w:lang w:val="en-US"/>
                  </w:rPr>
                  <w:t xml:space="preserve"> “Caste” often serves as metonymic social detail in his stories, rarely becoming a theme in itself as in much subsequent Dalit writing. An outstanding feature of his writing is the almost aporetic schism between style (especially diction) and content: the diction frequently is alliterative and tends to use words derived from Sanskrit (a mark of “high” Marathi), whereas the content is the gruesome and near-impossible lives of the characters in his stories. Such an aesthetic of discord could very well be a feature of modern Marathi literature, because Marathi literature became Modern and Modernist, especially with the rise of Dalit literature—and </w:t>
                </w:r>
                <w:proofErr w:type="spellStart"/>
                <w:r>
                  <w:rPr>
                    <w:lang w:val="en-US"/>
                  </w:rPr>
                  <w:t>Bagul</w:t>
                </w:r>
                <w:proofErr w:type="spellEnd"/>
                <w:r>
                  <w:rPr>
                    <w:lang w:val="en-US"/>
                  </w:rPr>
                  <w:t xml:space="preserve">, along with a few other authors, was at the cutting edge. </w:t>
                </w:r>
              </w:p>
              <w:p w:rsidR="00CE3195" w:rsidRDefault="00CE3195" w:rsidP="00CE3195">
                <w:pPr>
                  <w:spacing w:after="120" w:line="360" w:lineRule="auto"/>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woman who is exploited by men, raped and humiliated in other ways, and wishes to become a man. For </w:t>
                </w:r>
                <w:proofErr w:type="gramStart"/>
                <w:r>
                  <w:rPr>
                    <w:lang w:val="en-US"/>
                  </w:rPr>
                  <w:t>most  of</w:t>
                </w:r>
                <w:proofErr w:type="gramEnd"/>
                <w:r>
                  <w:rPr>
                    <w:lang w:val="en-US"/>
                  </w:rPr>
                  <w:t xml:space="preserve"> the novella, she dresses up as a male sadhu and travels with her spiritual guru. Other stories by </w:t>
                </w:r>
                <w:proofErr w:type="spellStart"/>
                <w:r>
                  <w:rPr>
                    <w:lang w:val="en-US"/>
                  </w:rPr>
                  <w:t>Bagul</w:t>
                </w:r>
                <w:proofErr w:type="spellEnd"/>
                <w:r>
                  <w:rPr>
                    <w:lang w:val="en-US"/>
                  </w:rPr>
                  <w:t xml:space="preserve"> also often focus on women characters </w:t>
                </w:r>
                <w:proofErr w:type="gramStart"/>
                <w:r>
                  <w:rPr>
                    <w:lang w:val="en-US"/>
                  </w:rPr>
                  <w:t>who</w:t>
                </w:r>
                <w:proofErr w:type="gramEnd"/>
                <w:r>
                  <w:rPr>
                    <w:lang w:val="en-US"/>
                  </w:rPr>
                  <w:t xml:space="preserve"> are exploited in so many ways. One such story “</w:t>
                </w:r>
                <w:proofErr w:type="spellStart"/>
                <w:r>
                  <w:rPr>
                    <w:lang w:val="en-US"/>
                  </w:rPr>
                  <w:t>Aai</w:t>
                </w:r>
                <w:proofErr w:type="spellEnd"/>
                <w:r>
                  <w:rPr>
                    <w:lang w:val="en-US"/>
                  </w:rPr>
                  <w:t>” (“Mother”) has become particularly well-known.</w:t>
                </w:r>
                <w:r w:rsidRPr="00B17925">
                  <w:rPr>
                    <w:lang w:val="en-US"/>
                  </w:rPr>
                  <w:t xml:space="preserve"> </w:t>
                </w:r>
                <w:r>
                  <w:rPr>
                    <w:lang w:val="en-US"/>
                  </w:rPr>
                  <w:t>In spite of the popularity of “</w:t>
                </w:r>
                <w:proofErr w:type="spellStart"/>
                <w:r>
                  <w:rPr>
                    <w:lang w:val="en-US"/>
                  </w:rPr>
                  <w:t>Aai</w:t>
                </w:r>
                <w:proofErr w:type="spellEnd"/>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 less-known to </w:t>
                </w:r>
                <w:proofErr w:type="spellStart"/>
                <w:r>
                  <w:rPr>
                    <w:lang w:val="en-US"/>
                  </w:rPr>
                  <w:t>Englishreaders</w:t>
                </w:r>
                <w:proofErr w:type="spellEnd"/>
                <w:r>
                  <w:rPr>
                    <w:lang w:val="en-US"/>
                  </w:rPr>
                  <w:t>. Reprints of his fiction often come from publishing houses peripheral to the publication business.</w:t>
                </w:r>
              </w:p>
              <w:p w:rsidR="00CE3195" w:rsidRDefault="00CE3195" w:rsidP="00CE3195">
                <w:pPr>
                  <w:spacing w:after="120" w:line="360" w:lineRule="auto"/>
                  <w:rPr>
                    <w:lang w:val="en-US"/>
                  </w:rPr>
                </w:pPr>
                <w:proofErr w:type="spellStart"/>
                <w:r>
                  <w:rPr>
                    <w:lang w:val="en-US"/>
                  </w:rPr>
                  <w:t>Bagul</w:t>
                </w:r>
                <w:proofErr w:type="spellEnd"/>
                <w:r>
                  <w:rPr>
                    <w:lang w:val="en-US"/>
                  </w:rPr>
                  <w:t xml:space="preserve"> has also written critical essays, 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Pr>
                    <w:lang w:val="en-US"/>
                  </w:rPr>
                  <w:t xml:space="preserve">, 1970), these bear marks of a committed activist’s interest in the ideas of Karl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rsidR="00CE3195" w:rsidRDefault="00CE3195" w:rsidP="00C96994">
                <w:pPr>
                  <w:pStyle w:val="Authornote"/>
                </w:pPr>
                <w:r>
                  <w:rPr>
                    <w:lang w:val="en-US"/>
                  </w:rPr>
                  <w:t xml:space="preserve"> * </w:t>
                </w:r>
                <w:r w:rsidRPr="00C96994">
                  <w:rPr>
                    <w:color w:val="auto"/>
                    <w:lang w:val="en-US"/>
                  </w:rPr>
                  <w:t xml:space="preserve">There is some uncertainty about </w:t>
                </w:r>
                <w:proofErr w:type="spellStart"/>
                <w:r w:rsidRPr="00C96994">
                  <w:rPr>
                    <w:color w:val="auto"/>
                    <w:lang w:val="en-US"/>
                  </w:rPr>
                  <w:t>Bagul’s</w:t>
                </w:r>
                <w:proofErr w:type="spellEnd"/>
                <w:r w:rsidRPr="00C96994">
                  <w:rPr>
                    <w:color w:val="auto"/>
                    <w:lang w:val="en-US"/>
                  </w:rPr>
                  <w:t xml:space="preserve"> date of birth, because he was not sure about it and roughly estimated the year as 1930 or 1931. </w:t>
                </w:r>
                <w:r w:rsidRPr="00C96994">
                  <w:rPr>
                    <w:color w:val="auto"/>
                  </w:rPr>
                  <w:t xml:space="preserve"> </w:t>
                </w:r>
              </w:p>
              <w:p w:rsidR="00C96994" w:rsidRDefault="00C96994" w:rsidP="00CE3195">
                <w:pPr>
                  <w:spacing w:after="120" w:line="360" w:lineRule="auto"/>
                </w:pPr>
              </w:p>
              <w:p w:rsidR="00CE3195" w:rsidRDefault="00415A3D" w:rsidP="00CE3195">
                <w:pPr>
                  <w:spacing w:after="120" w:line="360" w:lineRule="auto"/>
                </w:pPr>
                <w:sdt>
                  <w:sdtPr>
                    <w:id w:val="1872723509"/>
                    <w:citation/>
                  </w:sdtPr>
                  <w:sdtEndPr/>
                  <w:sdtContent>
                    <w:r w:rsidR="00CE3195">
                      <w:fldChar w:fldCharType="begin"/>
                    </w:r>
                    <w:r w:rsidR="00CE3195">
                      <w:rPr>
                        <w:lang w:val="en-CA"/>
                      </w:rPr>
                      <w:instrText xml:space="preserve"> CITATION Sus96 \l 4105 </w:instrText>
                    </w:r>
                    <w:r w:rsidR="00CE3195">
                      <w:fldChar w:fldCharType="separate"/>
                    </w:r>
                    <w:r w:rsidR="00CE3195" w:rsidRPr="00CE3195">
                      <w:rPr>
                        <w:noProof/>
                        <w:lang w:val="en-CA"/>
                      </w:rPr>
                      <w:t>(Tharu)</w:t>
                    </w:r>
                    <w:r w:rsidR="00CE3195">
                      <w:fldChar w:fldCharType="end"/>
                    </w:r>
                  </w:sdtContent>
                </w:sdt>
              </w:p>
              <w:p w:rsidR="00CE3195" w:rsidRDefault="00415A3D" w:rsidP="00CE3195">
                <w:pPr>
                  <w:spacing w:after="120" w:line="360" w:lineRule="auto"/>
                </w:pPr>
                <w:sdt>
                  <w:sdtPr>
                    <w:id w:val="-119229611"/>
                    <w:citation/>
                  </w:sdtPr>
                  <w:sdtEndPr/>
                  <w:sdtContent>
                    <w:r w:rsidR="00CE3195">
                      <w:fldChar w:fldCharType="begin"/>
                    </w:r>
                    <w:r w:rsidR="00CE3195">
                      <w:rPr>
                        <w:lang w:val="en-CA"/>
                      </w:rPr>
                      <w:instrText xml:space="preserve">CITATION Mal09 \l 4105 </w:instrText>
                    </w:r>
                    <w:r w:rsidR="00CE3195">
                      <w:fldChar w:fldCharType="separate"/>
                    </w:r>
                    <w:r w:rsidR="00CE3195" w:rsidRPr="00CE3195">
                      <w:rPr>
                        <w:noProof/>
                        <w:lang w:val="en-CA"/>
                      </w:rPr>
                      <w:t>(Ingale)</w:t>
                    </w:r>
                    <w:r w:rsidR="00CE3195">
                      <w:fldChar w:fldCharType="end"/>
                    </w:r>
                  </w:sdtContent>
                </w:sdt>
              </w:p>
              <w:p w:rsidR="00CE3195" w:rsidRPr="00CE3195" w:rsidRDefault="00CE3195" w:rsidP="00CE3195">
                <w:pPr>
                  <w:spacing w:after="120" w:line="360" w:lineRule="auto"/>
                  <w:rPr>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A3D" w:rsidRDefault="00415A3D" w:rsidP="007A0D55">
      <w:pPr>
        <w:spacing w:after="0" w:line="240" w:lineRule="auto"/>
      </w:pPr>
      <w:r>
        <w:separator/>
      </w:r>
    </w:p>
  </w:endnote>
  <w:endnote w:type="continuationSeparator" w:id="0">
    <w:p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A3D" w:rsidRDefault="00415A3D" w:rsidP="007A0D55">
      <w:pPr>
        <w:spacing w:after="0" w:line="240" w:lineRule="auto"/>
      </w:pPr>
      <w:r>
        <w:separator/>
      </w:r>
    </w:p>
  </w:footnote>
  <w:footnote w:type="continuationSeparator" w:id="0">
    <w:p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677B6"/>
    <w:rsid w:val="003D3579"/>
    <w:rsid w:val="003E2795"/>
    <w:rsid w:val="003F0D73"/>
    <w:rsid w:val="00415A3D"/>
    <w:rsid w:val="00432F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5773BBA8-AC01-4E6A-8D8A-5E35A136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2014-03-10T19:30:00Z</dcterms:created>
  <dcterms:modified xsi:type="dcterms:W3CDTF">2014-03-10T19:47:00Z</dcterms:modified>
</cp:coreProperties>
</file>